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before="120" w:after="120" w:line="360" w:lineRule="auto"/>
        <w:rPr>
          <w:rFonts w:hint="eastAsia" w:ascii="宋体" w:hAnsi="宋体" w:eastAsia="宋体" w:cs="宋体"/>
          <w:b/>
          <w:bCs/>
          <w:color w:val="auto"/>
          <w:sz w:val="84"/>
          <w:szCs w:val="24"/>
          <w:highlight w:val="none"/>
        </w:rPr>
      </w:pPr>
      <w:r>
        <w:rPr>
          <w:rFonts w:hint="eastAsia" w:ascii="宋体" w:hAnsi="宋体" w:eastAsia="宋体" w:cs="宋体"/>
          <w:b/>
          <w:bCs/>
          <w:color w:val="auto"/>
          <w:sz w:val="84"/>
          <w:szCs w:val="24"/>
          <w:highlight w:val="none"/>
        </w:rPr>
      </w:r>
      <w:r/>
    </w:p>
    <w:p>
      <w:pPr>
        <w:jc w:val="center"/>
        <w:spacing w:before="120" w:after="120" w:line="360" w:lineRule="auto"/>
        <w:rPr>
          <w:rFonts w:hint="eastAsia" w:ascii="宋体" w:hAnsi="宋体" w:eastAsia="宋体" w:cs="宋体"/>
          <w:b/>
          <w:bCs/>
          <w:color w:val="auto"/>
          <w:sz w:val="84"/>
          <w:szCs w:val="24"/>
          <w:highlight w:val="none"/>
        </w:rPr>
      </w:pPr>
      <w:r>
        <w:rPr>
          <w:rFonts w:hint="eastAsia" w:ascii="宋体" w:hAnsi="宋体" w:eastAsia="宋体" w:cs="宋体"/>
          <w:b/>
          <w:bCs/>
          <w:color w:val="auto"/>
          <w:sz w:val="84"/>
          <w:szCs w:val="24"/>
          <w:highlight w:val="none"/>
        </w:rPr>
      </w:r>
      <w:r/>
    </w:p>
    <w:p>
      <w:pPr>
        <w:jc w:val="center"/>
        <w:spacing w:before="120" w:after="120" w:line="360" w:lineRule="auto"/>
        <w:rPr>
          <w:rFonts w:hint="eastAsia" w:ascii="宋体" w:hAnsi="宋体" w:eastAsia="宋体" w:cs="宋体"/>
          <w:b/>
          <w:bCs/>
          <w:color w:val="auto"/>
          <w:sz w:val="84"/>
          <w:szCs w:val="24"/>
          <w:highlight w:val="none"/>
        </w:rPr>
      </w:pPr>
      <w:r>
        <w:rPr>
          <w:rFonts w:hint="eastAsia" w:ascii="宋体" w:hAnsi="宋体" w:eastAsia="宋体" w:cs="宋体"/>
          <w:b/>
          <w:bCs/>
          <w:color w:val="auto"/>
          <w:sz w:val="84"/>
          <w:szCs w:val="24"/>
          <w:highlight w:val="none"/>
        </w:rPr>
        <w:t xml:space="preserve">竞争性磋商文件</w:t>
      </w:r>
      <w:r/>
    </w:p>
    <w:p>
      <w:pPr>
        <w:ind w:firstLine="2249"/>
        <w:jc w:val="left"/>
        <w:spacing w:before="120" w:after="120" w:line="360" w:lineRule="auto"/>
        <w:rPr>
          <w:rFonts w:hint="eastAsia" w:ascii="宋体" w:hAnsi="宋体" w:eastAsia="宋体" w:cs="宋体"/>
          <w:b/>
          <w:bCs/>
          <w:color w:val="auto"/>
          <w:sz w:val="32"/>
          <w:szCs w:val="24"/>
          <w:highlight w:val="none"/>
        </w:rPr>
      </w:pPr>
      <w:r>
        <w:rPr>
          <w:rFonts w:hint="eastAsia" w:ascii="宋体" w:hAnsi="宋体" w:eastAsia="宋体" w:cs="宋体"/>
          <w:b/>
          <w:bCs/>
          <w:color w:val="auto"/>
          <w:sz w:val="32"/>
          <w:szCs w:val="24"/>
          <w:highlight w:val="none"/>
        </w:rPr>
      </w:r>
      <w:r/>
    </w:p>
    <w:p>
      <w:pPr>
        <w:ind w:firstLine="2249"/>
        <w:jc w:val="left"/>
        <w:spacing w:before="120" w:after="120" w:line="360" w:lineRule="auto"/>
        <w:rPr>
          <w:rFonts w:hint="eastAsia" w:ascii="宋体" w:hAnsi="宋体" w:eastAsia="宋体" w:cs="宋体"/>
          <w:b/>
          <w:bCs/>
          <w:color w:val="auto"/>
          <w:sz w:val="32"/>
          <w:szCs w:val="24"/>
          <w:highlight w:val="none"/>
        </w:rPr>
      </w:pPr>
      <w:r>
        <w:rPr>
          <w:rFonts w:hint="eastAsia" w:ascii="宋体" w:hAnsi="宋体" w:eastAsia="宋体" w:cs="宋体"/>
          <w:b/>
          <w:bCs/>
          <w:color w:val="auto"/>
          <w:sz w:val="32"/>
          <w:szCs w:val="24"/>
          <w:highlight w:val="none"/>
        </w:rPr>
      </w:r>
      <w:r/>
    </w:p>
    <w:tbl>
      <w:tblPr>
        <w:tblStyle w:val="735"/>
        <w:tblW w:w="0" w:type="auto"/>
        <w:jc w:val="center"/>
        <w:tblLayout w:type="fixed"/>
        <w:tblCellMar>
          <w:left w:w="108" w:type="dxa"/>
          <w:top w:w="0" w:type="dxa"/>
          <w:right w:w="108" w:type="dxa"/>
          <w:bottom w:w="0" w:type="dxa"/>
        </w:tblCellMar>
        <w:tblLook w:val="04A0" w:firstRow="1" w:lastRow="0" w:firstColumn="1" w:lastColumn="0" w:noHBand="0" w:noVBand="1"/>
      </w:tblPr>
      <w:tblGrid>
        <w:gridCol w:w="2436"/>
        <w:gridCol w:w="5694"/>
      </w:tblGrid>
      <w:tr>
        <w:trPr>
          <w:jc w:val="center"/>
          <w:trHeight w:val="584"/>
        </w:trPr>
        <w:tc>
          <w:tcPr>
            <w:tcBorders>
              <w:top w:val="none" w:color="000000" w:sz="4" w:space="0"/>
              <w:left w:val="none" w:color="000000" w:sz="4" w:space="0"/>
              <w:bottom w:val="none" w:color="000000" w:sz="4" w:space="0"/>
              <w:right w:val="none" w:color="000000" w:sz="4" w:space="0"/>
            </w:tcBorders>
            <w:tcW w:w="2436" w:type="dxa"/>
            <w:vAlign w:val="center"/>
            <w:textDirection w:val="lrTb"/>
            <w:noWrap w:val="false"/>
          </w:tcPr>
          <w:p>
            <w:pPr>
              <w:spacing w:line="500" w:lineRule="exact"/>
              <w:rPr>
                <w:rFonts w:hint="eastAsia" w:ascii="宋体" w:hAnsi="宋体" w:eastAsia="宋体" w:cs="宋体"/>
                <w:b/>
                <w:bCs/>
                <w:color w:val="auto"/>
                <w:sz w:val="32"/>
                <w:szCs w:val="24"/>
                <w:highlight w:val="none"/>
              </w:rPr>
            </w:pPr>
            <w:r>
              <w:rPr>
                <w:rFonts w:hint="eastAsia" w:ascii="宋体" w:hAnsi="宋体" w:eastAsia="宋体" w:cs="宋体"/>
                <w:b/>
                <w:bCs/>
                <w:color w:val="auto"/>
                <w:sz w:val="32"/>
                <w:szCs w:val="24"/>
                <w:highlight w:val="none"/>
              </w:rPr>
              <w:t xml:space="preserve">项目名称：</w:t>
            </w:r>
            <w:r/>
          </w:p>
        </w:tc>
        <w:tc>
          <w:tcPr>
            <w:tcBorders>
              <w:top w:val="none" w:color="000000" w:sz="4" w:space="0"/>
              <w:left w:val="none" w:color="000000" w:sz="4" w:space="0"/>
              <w:bottom w:val="none" w:color="000000" w:sz="4" w:space="0"/>
              <w:right w:val="none" w:color="000000" w:sz="4" w:space="0"/>
            </w:tcBorders>
            <w:tcW w:w="5694" w:type="dxa"/>
            <w:vAlign w:val="center"/>
            <w:textDirection w:val="lrTb"/>
            <w:noWrap w:val="false"/>
          </w:tcPr>
          <w:p>
            <w:pPr>
              <w:spacing w:line="500" w:lineRule="exact"/>
              <w:rPr>
                <w:rFonts w:hint="eastAsia" w:ascii="宋体" w:hAnsi="宋体" w:eastAsia="宋体" w:cs="宋体"/>
                <w:color w:val="auto"/>
                <w:sz w:val="36"/>
                <w:szCs w:val="36"/>
                <w:highlight w:val="none"/>
              </w:rPr>
            </w:pPr>
            <w:r>
              <w:rPr>
                <w:rFonts w:hint="eastAsia" w:ascii="宋体" w:hAnsi="宋体" w:eastAsia="宋体" w:cs="宋体"/>
                <w:b/>
                <w:bCs/>
                <w:color w:val="auto"/>
                <w:sz w:val="32"/>
                <w:szCs w:val="24"/>
                <w:highlight w:val="none"/>
                <w:lang w:eastAsia="zh-CN"/>
              </w:rPr>
              <w:t xml:space="preserve">宿迁市市辖区第二轮生物多样性本底调查项目</w:t>
            </w:r>
            <w:r/>
          </w:p>
        </w:tc>
      </w:tr>
      <w:tr>
        <w:trPr>
          <w:jc w:val="center"/>
          <w:trHeight w:val="603"/>
        </w:trPr>
        <w:tc>
          <w:tcPr>
            <w:tcBorders>
              <w:top w:val="none" w:color="000000" w:sz="4" w:space="0"/>
              <w:left w:val="none" w:color="000000" w:sz="4" w:space="0"/>
              <w:bottom w:val="none" w:color="000000" w:sz="4" w:space="0"/>
              <w:right w:val="none" w:color="000000" w:sz="4" w:space="0"/>
            </w:tcBorders>
            <w:tcW w:w="2436" w:type="dxa"/>
            <w:vAlign w:val="center"/>
            <w:textDirection w:val="lrTb"/>
            <w:noWrap w:val="false"/>
          </w:tcPr>
          <w:p>
            <w:pPr>
              <w:spacing w:line="500" w:lineRule="exact"/>
              <w:rPr>
                <w:rFonts w:hint="eastAsia" w:ascii="宋体" w:hAnsi="宋体" w:eastAsia="宋体" w:cs="宋体"/>
                <w:b/>
                <w:bCs/>
                <w:color w:val="auto"/>
                <w:sz w:val="32"/>
                <w:szCs w:val="24"/>
                <w:highlight w:val="none"/>
              </w:rPr>
            </w:pPr>
            <w:r>
              <w:rPr>
                <w:rFonts w:hint="eastAsia" w:ascii="宋体" w:hAnsi="宋体" w:eastAsia="宋体" w:cs="宋体"/>
                <w:b/>
                <w:bCs/>
                <w:color w:val="auto"/>
                <w:sz w:val="32"/>
                <w:szCs w:val="24"/>
                <w:highlight w:val="none"/>
              </w:rPr>
              <w:t xml:space="preserve">项目编号：</w:t>
            </w:r>
            <w:r/>
          </w:p>
        </w:tc>
        <w:tc>
          <w:tcPr>
            <w:tcBorders>
              <w:top w:val="none" w:color="000000" w:sz="4" w:space="0"/>
              <w:left w:val="none" w:color="000000" w:sz="4" w:space="0"/>
              <w:bottom w:val="none" w:color="000000" w:sz="4" w:space="0"/>
              <w:right w:val="none" w:color="000000" w:sz="4" w:space="0"/>
            </w:tcBorders>
            <w:tcW w:w="5694" w:type="dxa"/>
            <w:vAlign w:val="center"/>
            <w:textDirection w:val="lrTb"/>
            <w:noWrap w:val="false"/>
          </w:tcPr>
          <w:p>
            <w:pPr>
              <w:spacing w:line="500" w:lineRule="exact"/>
              <w:rPr>
                <w:rFonts w:hint="eastAsia" w:ascii="宋体" w:hAnsi="宋体" w:eastAsia="宋体" w:cs="宋体"/>
                <w:color w:val="auto"/>
                <w:sz w:val="36"/>
                <w:szCs w:val="36"/>
                <w:highlight w:val="none"/>
              </w:rPr>
            </w:pPr>
            <w:r>
              <w:rPr>
                <w:rFonts w:hint="eastAsia" w:ascii="宋体" w:hAnsi="宋体" w:cs="宋体"/>
                <w:b/>
                <w:bCs/>
                <w:color w:val="auto"/>
                <w:sz w:val="32"/>
                <w:szCs w:val="24"/>
                <w:highlight w:val="none"/>
                <w:lang w:eastAsia="zh-CN"/>
              </w:rPr>
              <w:t xml:space="preserve">JSZC-321300-JSKJ-C2026-0012</w:t>
            </w:r>
            <w:r/>
          </w:p>
        </w:tc>
      </w:tr>
    </w:tbl>
    <w:p>
      <w:pPr>
        <w:jc w:val="center"/>
        <w:spacing w:before="120" w:after="120" w:line="360" w:lineRule="auto"/>
        <w:rPr>
          <w:rFonts w:hint="eastAsia" w:ascii="宋体" w:hAnsi="宋体" w:eastAsia="宋体" w:cs="宋体"/>
          <w:b/>
          <w:color w:val="auto"/>
          <w:sz w:val="30"/>
          <w:szCs w:val="30"/>
          <w:highlight w:val="none"/>
        </w:rPr>
      </w:pPr>
      <w:r>
        <w:rPr>
          <w:rFonts w:hint="eastAsia" w:ascii="宋体" w:hAnsi="宋体" w:eastAsia="宋体" w:cs="宋体"/>
          <w:b/>
          <w:bCs/>
          <w:color w:val="auto"/>
          <w:sz w:val="32"/>
          <w:szCs w:val="24"/>
          <w:highlight w:val="none"/>
        </w:rPr>
        <w:t xml:space="preserve">（</w:t>
      </w:r>
      <w:r>
        <w:rPr>
          <w:rFonts w:hint="eastAsia" w:ascii="宋体" w:hAnsi="宋体" w:eastAsia="宋体" w:cs="宋体"/>
          <w:b/>
          <w:bCs/>
          <w:color w:val="auto"/>
          <w:sz w:val="32"/>
          <w:szCs w:val="24"/>
          <w:highlight w:val="none"/>
          <w:u w:val="single"/>
        </w:rPr>
        <w:t xml:space="preserve">服务</w:t>
      </w:r>
      <w:r>
        <w:rPr>
          <w:rFonts w:hint="eastAsia" w:ascii="宋体" w:hAnsi="宋体" w:eastAsia="宋体" w:cs="宋体"/>
          <w:b/>
          <w:bCs/>
          <w:color w:val="auto"/>
          <w:sz w:val="32"/>
          <w:szCs w:val="24"/>
          <w:highlight w:val="none"/>
        </w:rPr>
        <w:t xml:space="preserve">类项目，</w:t>
      </w:r>
      <w:r>
        <w:rPr>
          <w:rFonts w:hint="eastAsia" w:ascii="宋体" w:hAnsi="宋体" w:eastAsia="宋体" w:cs="宋体"/>
          <w:b/>
          <w:bCs/>
          <w:color w:val="auto"/>
          <w:sz w:val="32"/>
          <w:szCs w:val="24"/>
          <w:highlight w:val="none"/>
          <w:u w:val="single"/>
          <w:lang w:val="en-US" w:eastAsia="zh-CN"/>
        </w:rPr>
        <w:t xml:space="preserve">是</w:t>
      </w:r>
      <w:r>
        <w:rPr>
          <w:rFonts w:hint="eastAsia" w:ascii="宋体" w:hAnsi="宋体" w:eastAsia="宋体" w:cs="宋体"/>
          <w:b/>
          <w:bCs/>
          <w:color w:val="auto"/>
          <w:sz w:val="32"/>
          <w:szCs w:val="24"/>
          <w:highlight w:val="none"/>
        </w:rPr>
        <w:t xml:space="preserve">专门面向中小企业）</w:t>
      </w:r>
      <w:r/>
    </w:p>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bl>
      <w:tblPr>
        <w:tblStyle w:val="735"/>
        <w:tblW w:w="0" w:type="auto"/>
        <w:jc w:val="center"/>
        <w:tblLayout w:type="fixed"/>
        <w:tblCellMar>
          <w:left w:w="108" w:type="dxa"/>
          <w:top w:w="0" w:type="dxa"/>
          <w:right w:w="108" w:type="dxa"/>
          <w:bottom w:w="0" w:type="dxa"/>
        </w:tblCellMar>
        <w:tblLook w:val="04A0" w:firstRow="1" w:lastRow="0" w:firstColumn="1" w:lastColumn="0" w:noHBand="0" w:noVBand="1"/>
      </w:tblPr>
      <w:tblGrid>
        <w:gridCol w:w="2725"/>
        <w:gridCol w:w="5362"/>
      </w:tblGrid>
      <w:tr>
        <w:trPr>
          <w:jc w:val="center"/>
          <w:trHeight w:val="800"/>
        </w:trPr>
        <w:tc>
          <w:tcPr>
            <w:tcBorders>
              <w:top w:val="none" w:color="000000" w:sz="4" w:space="0"/>
              <w:left w:val="none" w:color="000000" w:sz="4" w:space="0"/>
              <w:bottom w:val="none" w:color="000000" w:sz="4" w:space="0"/>
              <w:right w:val="none" w:color="000000" w:sz="4" w:space="0"/>
            </w:tcBorders>
            <w:tcW w:w="2725" w:type="dxa"/>
            <w:vAlign w:val="center"/>
            <w:textDirection w:val="lrTb"/>
            <w:noWrap w:val="false"/>
          </w:tcPr>
          <w:p>
            <w:pPr>
              <w:spacing w:line="500" w:lineRule="exact"/>
              <w:rPr>
                <w:rFonts w:hint="eastAsia" w:ascii="宋体" w:hAnsi="宋体" w:eastAsia="宋体" w:cs="宋体"/>
                <w:b/>
                <w:bCs/>
                <w:color w:val="auto"/>
                <w:sz w:val="32"/>
                <w:szCs w:val="24"/>
                <w:highlight w:val="none"/>
              </w:rPr>
            </w:pPr>
            <w:r>
              <w:rPr>
                <w:rFonts w:hint="eastAsia" w:ascii="宋体" w:hAnsi="宋体" w:eastAsia="宋体" w:cs="宋体"/>
                <w:b/>
                <w:bCs/>
                <w:color w:val="auto"/>
                <w:sz w:val="32"/>
                <w:szCs w:val="24"/>
                <w:highlight w:val="none"/>
              </w:rPr>
              <w:t xml:space="preserve">采购人：</w:t>
            </w:r>
            <w:r/>
          </w:p>
        </w:tc>
        <w:tc>
          <w:tcPr>
            <w:tcBorders>
              <w:top w:val="none" w:color="000000" w:sz="4" w:space="0"/>
              <w:left w:val="none" w:color="000000" w:sz="4" w:space="0"/>
              <w:bottom w:val="none" w:color="000000" w:sz="4" w:space="0"/>
              <w:right w:val="none" w:color="000000" w:sz="4" w:space="0"/>
            </w:tcBorders>
            <w:tcW w:w="5362" w:type="dxa"/>
            <w:vAlign w:val="center"/>
            <w:textDirection w:val="lrTb"/>
            <w:noWrap w:val="false"/>
          </w:tcPr>
          <w:p>
            <w:pPr>
              <w:spacing w:after="156"/>
              <w:rPr>
                <w:rFonts w:hint="eastAsia" w:ascii="宋体" w:hAnsi="宋体" w:eastAsia="宋体" w:cs="宋体"/>
                <w:b/>
                <w:bCs/>
                <w:color w:val="auto"/>
                <w:sz w:val="32"/>
                <w:szCs w:val="24"/>
                <w:highlight w:val="none"/>
              </w:rPr>
            </w:pPr>
            <w:r>
              <w:rPr>
                <w:rFonts w:hint="eastAsia" w:ascii="宋体" w:hAnsi="宋体" w:eastAsia="宋体" w:cs="宋体"/>
                <w:b/>
                <w:bCs/>
                <w:color w:val="auto"/>
                <w:sz w:val="32"/>
                <w:szCs w:val="24"/>
                <w:highlight w:val="none"/>
                <w:lang w:eastAsia="zh-CN"/>
              </w:rPr>
              <w:t xml:space="preserve">宿迁市生态环境局</w:t>
            </w:r>
            <w:r/>
          </w:p>
        </w:tc>
      </w:tr>
      <w:tr>
        <w:trPr>
          <w:jc w:val="center"/>
          <w:trHeight w:val="800"/>
        </w:trPr>
        <w:tc>
          <w:tcPr>
            <w:tcBorders>
              <w:top w:val="none" w:color="000000" w:sz="4" w:space="0"/>
              <w:left w:val="none" w:color="000000" w:sz="4" w:space="0"/>
              <w:bottom w:val="none" w:color="000000" w:sz="4" w:space="0"/>
              <w:right w:val="none" w:color="000000" w:sz="4" w:space="0"/>
            </w:tcBorders>
            <w:tcW w:w="2725" w:type="dxa"/>
            <w:vAlign w:val="center"/>
            <w:textDirection w:val="lrTb"/>
            <w:noWrap w:val="false"/>
          </w:tcPr>
          <w:p>
            <w:pPr>
              <w:spacing w:line="500" w:lineRule="exact"/>
              <w:rPr>
                <w:rFonts w:hint="eastAsia" w:ascii="宋体" w:hAnsi="宋体" w:eastAsia="宋体" w:cs="宋体"/>
                <w:b/>
                <w:bCs/>
                <w:color w:val="auto"/>
                <w:sz w:val="32"/>
                <w:szCs w:val="24"/>
                <w:highlight w:val="none"/>
              </w:rPr>
            </w:pPr>
            <w:r>
              <w:rPr>
                <w:rFonts w:hint="eastAsia" w:ascii="宋体" w:hAnsi="宋体" w:eastAsia="宋体" w:cs="宋体"/>
                <w:b/>
                <w:bCs/>
                <w:color w:val="auto"/>
                <w:sz w:val="32"/>
                <w:szCs w:val="24"/>
                <w:highlight w:val="none"/>
              </w:rPr>
              <w:t xml:space="preserve">采购代理机构：</w:t>
            </w:r>
            <w:r/>
          </w:p>
        </w:tc>
        <w:tc>
          <w:tcPr>
            <w:tcBorders>
              <w:top w:val="none" w:color="000000" w:sz="4" w:space="0"/>
              <w:left w:val="none" w:color="000000" w:sz="4" w:space="0"/>
              <w:bottom w:val="none" w:color="000000" w:sz="4" w:space="0"/>
              <w:right w:val="none" w:color="000000" w:sz="4" w:space="0"/>
            </w:tcBorders>
            <w:tcW w:w="5362" w:type="dxa"/>
            <w:vAlign w:val="center"/>
            <w:textDirection w:val="lrTb"/>
            <w:noWrap w:val="false"/>
          </w:tcPr>
          <w:p>
            <w:pPr>
              <w:spacing w:after="156"/>
              <w:rPr>
                <w:rFonts w:hint="eastAsia" w:ascii="宋体" w:hAnsi="宋体" w:eastAsia="宋体" w:cs="宋体"/>
                <w:b/>
                <w:bCs/>
                <w:color w:val="auto"/>
                <w:sz w:val="32"/>
                <w:szCs w:val="24"/>
                <w:highlight w:val="none"/>
              </w:rPr>
            </w:pPr>
            <w:r>
              <w:rPr>
                <w:rFonts w:hint="eastAsia" w:ascii="宋体" w:hAnsi="宋体" w:eastAsia="宋体" w:cs="宋体"/>
                <w:b/>
                <w:bCs/>
                <w:color w:val="auto"/>
                <w:sz w:val="32"/>
                <w:szCs w:val="24"/>
                <w:highlight w:val="none"/>
                <w:lang w:eastAsia="zh-CN"/>
              </w:rPr>
              <w:t xml:space="preserve">江苏科建工程项目管理有限公司</w:t>
            </w:r>
            <w:r/>
          </w:p>
        </w:tc>
      </w:tr>
      <w:tr>
        <w:trPr>
          <w:jc w:val="center"/>
          <w:trHeight w:val="800"/>
        </w:trPr>
        <w:tc>
          <w:tcPr>
            <w:tcBorders>
              <w:top w:val="none" w:color="000000" w:sz="4" w:space="0"/>
              <w:left w:val="none" w:color="000000" w:sz="4" w:space="0"/>
              <w:bottom w:val="none" w:color="000000" w:sz="4" w:space="0"/>
              <w:right w:val="none" w:color="000000" w:sz="4" w:space="0"/>
            </w:tcBorders>
            <w:tcW w:w="2725" w:type="dxa"/>
            <w:vAlign w:val="center"/>
            <w:textDirection w:val="lrTb"/>
            <w:noWrap w:val="false"/>
          </w:tcPr>
          <w:p>
            <w:pPr>
              <w:spacing w:line="500" w:lineRule="exact"/>
              <w:rPr>
                <w:rFonts w:hint="eastAsia" w:ascii="宋体" w:hAnsi="宋体" w:eastAsia="宋体" w:cs="宋体"/>
                <w:b/>
                <w:bCs/>
                <w:color w:val="auto"/>
                <w:sz w:val="32"/>
                <w:szCs w:val="24"/>
                <w:highlight w:val="none"/>
              </w:rPr>
            </w:pPr>
            <w:r>
              <w:rPr>
                <w:rFonts w:hint="eastAsia" w:ascii="宋体" w:hAnsi="宋体" w:eastAsia="宋体" w:cs="宋体"/>
                <w:b/>
                <w:bCs/>
                <w:color w:val="auto"/>
                <w:sz w:val="32"/>
                <w:szCs w:val="24"/>
                <w:highlight w:val="none"/>
              </w:rPr>
              <w:t xml:space="preserve">日期：</w:t>
            </w:r>
            <w:r/>
          </w:p>
        </w:tc>
        <w:tc>
          <w:tcPr>
            <w:tcBorders>
              <w:top w:val="none" w:color="000000" w:sz="4" w:space="0"/>
              <w:left w:val="none" w:color="000000" w:sz="4" w:space="0"/>
              <w:bottom w:val="none" w:color="000000" w:sz="4" w:space="0"/>
              <w:right w:val="none" w:color="000000" w:sz="4" w:space="0"/>
            </w:tcBorders>
            <w:tcW w:w="5362" w:type="dxa"/>
            <w:vAlign w:val="center"/>
            <w:textDirection w:val="lrTb"/>
            <w:noWrap w:val="false"/>
          </w:tcPr>
          <w:p>
            <w:pPr>
              <w:spacing w:after="156"/>
              <w:rPr>
                <w:rFonts w:hint="eastAsia" w:ascii="宋体" w:hAnsi="宋体" w:eastAsia="宋体" w:cs="宋体"/>
                <w:b/>
                <w:bCs/>
                <w:color w:val="auto"/>
                <w:sz w:val="32"/>
                <w:szCs w:val="24"/>
                <w:highlight w:val="none"/>
              </w:rPr>
            </w:pPr>
            <w:r/>
            <w:bookmarkStart w:id="0" w:name="EB0fd9ce30eb754b71a75bf113b0320af1"/>
            <w:r/>
            <w:bookmarkEnd w:id="0"/>
            <w:r>
              <w:rPr>
                <w:rFonts w:hint="eastAsia" w:ascii="宋体" w:hAnsi="宋体" w:eastAsia="宋体" w:cs="宋体"/>
                <w:b/>
                <w:bCs/>
                <w:color w:val="auto"/>
                <w:sz w:val="32"/>
                <w:szCs w:val="24"/>
                <w:highlight w:val="none"/>
                <w:lang w:eastAsia="zh-CN"/>
              </w:rPr>
              <w:t xml:space="preserve">202</w:t>
            </w:r>
            <w:r>
              <w:rPr>
                <w:rFonts w:hint="eastAsia" w:ascii="宋体" w:hAnsi="宋体" w:eastAsia="宋体" w:cs="宋体"/>
                <w:b/>
                <w:bCs/>
                <w:color w:val="auto"/>
                <w:sz w:val="32"/>
                <w:szCs w:val="24"/>
                <w:highlight w:val="none"/>
                <w:lang w:val="en-US" w:eastAsia="zh-CN"/>
              </w:rPr>
              <w:t xml:space="preserve">6</w:t>
            </w:r>
            <w:r>
              <w:rPr>
                <w:rFonts w:hint="eastAsia" w:ascii="宋体" w:hAnsi="宋体" w:eastAsia="宋体" w:cs="宋体"/>
                <w:b/>
                <w:bCs/>
                <w:color w:val="auto"/>
                <w:sz w:val="32"/>
                <w:szCs w:val="24"/>
                <w:highlight w:val="none"/>
                <w:lang w:eastAsia="zh-CN"/>
              </w:rPr>
              <w:t xml:space="preserve">年</w:t>
            </w:r>
            <w:r>
              <w:rPr>
                <w:rFonts w:hint="eastAsia" w:ascii="宋体" w:hAnsi="宋体" w:cs="宋体"/>
                <w:b/>
                <w:bCs/>
                <w:color w:val="auto"/>
                <w:sz w:val="32"/>
                <w:szCs w:val="24"/>
                <w:highlight w:val="none"/>
                <w:lang w:val="en-US" w:eastAsia="zh-CN"/>
              </w:rPr>
              <w:t xml:space="preserve">5</w:t>
            </w:r>
            <w:r>
              <w:rPr>
                <w:rFonts w:hint="eastAsia" w:ascii="宋体" w:hAnsi="宋体" w:eastAsia="宋体" w:cs="宋体"/>
                <w:b/>
                <w:bCs/>
                <w:color w:val="auto"/>
                <w:sz w:val="32"/>
                <w:szCs w:val="24"/>
                <w:highlight w:val="none"/>
                <w:lang w:eastAsia="zh-CN"/>
              </w:rPr>
              <w:t xml:space="preserve">月</w:t>
            </w:r>
            <w:r>
              <w:rPr>
                <w:rFonts w:hint="eastAsia" w:ascii="宋体" w:hAnsi="宋体" w:cs="宋体"/>
                <w:b/>
                <w:bCs/>
                <w:color w:val="auto"/>
                <w:sz w:val="32"/>
                <w:szCs w:val="24"/>
                <w:highlight w:val="none"/>
                <w:lang w:val="en-US" w:eastAsia="zh-CN"/>
              </w:rPr>
              <w:t xml:space="preserve">13</w:t>
            </w:r>
            <w:r>
              <w:rPr>
                <w:rFonts w:hint="eastAsia" w:ascii="宋体" w:hAnsi="宋体" w:eastAsia="宋体" w:cs="宋体"/>
                <w:b/>
                <w:bCs/>
                <w:color w:val="auto"/>
                <w:sz w:val="32"/>
                <w:szCs w:val="24"/>
                <w:highlight w:val="none"/>
                <w:lang w:eastAsia="zh-CN"/>
              </w:rPr>
              <w:t xml:space="preserve">日</w:t>
            </w:r>
            <w:r/>
          </w:p>
        </w:tc>
      </w:tr>
    </w:tbl>
    <w:p>
      <w:pPr>
        <w:jc w:val="left"/>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spacing w:line="480" w:lineRule="auto"/>
        <w:rPr>
          <w:rFonts w:hint="eastAsia" w:ascii="宋体" w:hAnsi="宋体" w:eastAsia="宋体" w:cs="宋体"/>
          <w:b/>
          <w:color w:val="auto"/>
          <w:sz w:val="44"/>
          <w:szCs w:val="21"/>
          <w:highlight w:val="none"/>
        </w:rPr>
        <w:sectPr>
          <w:headerReference w:type="default" r:id="rId9"/>
          <w:footerReference w:type="default" r:id="rId10"/>
          <w:footerReference w:type="even" r:id="rId11"/>
          <w:footnotePr/>
          <w:endnotePr/>
          <w:type w:val="nextPage"/>
          <w:pgSz w:w="11906" w:h="16838" w:orient="portrait"/>
          <w:pgMar w:top="1418" w:right="1588" w:bottom="1418" w:left="1365" w:header="851" w:footer="964" w:gutter="0"/>
          <w:cols w:num="1" w:sep="0" w:space="1701" w:equalWidth="1"/>
          <w:docGrid w:linePitch="360"/>
          <w:titlePg/>
        </w:sectPr>
      </w:pPr>
      <w:r/>
      <w:bookmarkStart w:id="1" w:name="_Toc120614210"/>
      <w:r/>
      <w:bookmarkStart w:id="2" w:name="_Toc513029200"/>
      <w:r/>
      <w:bookmarkStart w:id="3" w:name="_Toc16938516"/>
      <w:r/>
      <w:bookmarkStart w:id="4" w:name="_Toc20823272"/>
      <w:r/>
      <w:bookmarkStart w:id="5" w:name="_Toc479757206"/>
      <w:r/>
      <w:bookmarkStart w:id="6" w:name="_Toc523127445"/>
      <w:r/>
      <w:r/>
    </w:p>
    <w:p>
      <w:pPr>
        <w:jc w:val="center"/>
        <w:rPr>
          <w:rFonts w:hint="eastAsia" w:ascii="宋体" w:hAnsi="宋体" w:eastAsia="宋体" w:cs="宋体"/>
          <w:b/>
          <w:bCs/>
          <w:color w:val="auto"/>
          <w:sz w:val="44"/>
          <w:szCs w:val="44"/>
          <w:highlight w:val="none"/>
        </w:rPr>
      </w:pPr>
      <w:r>
        <w:rPr>
          <w:rFonts w:hint="eastAsia" w:ascii="宋体" w:hAnsi="宋体" w:eastAsia="宋体" w:cs="宋体"/>
          <w:b/>
          <w:bCs/>
          <w:color w:val="auto"/>
          <w:sz w:val="44"/>
          <w:szCs w:val="44"/>
          <w:highlight w:val="none"/>
        </w:rPr>
        <w:t xml:space="preserve">总目录</w:t>
      </w:r>
      <w:r/>
    </w:p>
    <w:p>
      <w:pPr>
        <w:pStyle w:val="750"/>
        <w:tabs>
          <w:tab w:val="right" w:pos="8953" w:leader="dot"/>
        </w:tabs>
      </w:pPr>
      <w:r>
        <w:rPr>
          <w:rFonts w:hint="eastAsia" w:ascii="宋体" w:hAnsi="宋体" w:eastAsia="宋体" w:cs="宋体"/>
          <w:color w:val="auto"/>
          <w:szCs w:val="21"/>
          <w:highlight w:val="none"/>
        </w:rPr>
        <w:fldChar w:fldCharType="begin"/>
      </w:r>
      <w:r>
        <w:rPr>
          <w:rFonts w:hint="eastAsia" w:ascii="宋体" w:hAnsi="宋体" w:eastAsia="宋体" w:cs="宋体"/>
          <w:color w:val="auto"/>
          <w:szCs w:val="21"/>
          <w:highlight w:val="none"/>
        </w:rPr>
        <w:instrText xml:space="preserve">TOC \o "1-2" \h \u </w:instrText>
      </w:r>
      <w:r>
        <w:rPr>
          <w:rFonts w:hint="eastAsia" w:ascii="宋体" w:hAnsi="宋体" w:eastAsia="宋体" w:cs="宋体"/>
          <w:color w:val="auto"/>
          <w:szCs w:val="21"/>
          <w:highlight w:val="none"/>
        </w:rPr>
        <w:fldChar w:fldCharType="separate"/>
      </w:r>
      <w:r>
        <w:rPr>
          <w:rFonts w:hint="eastAsia" w:ascii="宋体" w:hAnsi="宋体" w:eastAsia="宋体" w:cs="宋体"/>
          <w:color w:val="auto"/>
          <w:szCs w:val="21"/>
          <w:highlight w:val="none"/>
        </w:rPr>
        <w:fldChar w:fldCharType="begin"/>
      </w:r>
      <w:r>
        <w:rPr>
          <w:rFonts w:hint="eastAsia" w:ascii="宋体" w:hAnsi="宋体" w:eastAsia="宋体" w:cs="宋体"/>
          <w:szCs w:val="21"/>
          <w:highlight w:val="none"/>
        </w:rPr>
        <w:instrText xml:space="preserve"> HYPERLINK \l _Toc30306 </w:instrText>
      </w:r>
      <w:r>
        <w:rPr>
          <w:rFonts w:hint="eastAsia" w:ascii="宋体" w:hAnsi="宋体" w:eastAsia="宋体" w:cs="宋体"/>
          <w:szCs w:val="21"/>
          <w:highlight w:val="none"/>
        </w:rPr>
        <w:fldChar w:fldCharType="separate"/>
      </w:r>
      <w:r>
        <w:rPr>
          <w:rFonts w:hint="eastAsia" w:ascii="宋体" w:hAnsi="宋体" w:eastAsia="宋体" w:cs="宋体"/>
          <w:bCs/>
          <w:szCs w:val="44"/>
          <w:highlight w:val="none"/>
        </w:rPr>
        <w:t xml:space="preserve">第一章  磋商邀请</w:t>
      </w:r>
      <w:r>
        <w:tab/>
      </w:r>
      <w:r>
        <w:fldChar w:fldCharType="begin"/>
      </w:r>
      <w:r>
        <w:instrText xml:space="preserve"> PAGEREF _Toc30306 \h </w:instrText>
      </w:r>
      <w:r>
        <w:fldChar w:fldCharType="separate"/>
      </w:r>
      <w:r>
        <w:t xml:space="preserve">1</w:t>
      </w:r>
      <w:r>
        <w:fldChar w:fldCharType="end"/>
      </w:r>
      <w:r>
        <w:rPr>
          <w:rFonts w:hint="eastAsia" w:ascii="宋体" w:hAnsi="宋体" w:eastAsia="宋体" w:cs="宋体"/>
          <w:color w:val="auto"/>
          <w:szCs w:val="21"/>
          <w:highlight w:val="none"/>
        </w:rPr>
        <w:fldChar w:fldCharType="end"/>
      </w:r>
      <w:r/>
    </w:p>
    <w:p>
      <w:pPr>
        <w:pStyle w:val="750"/>
        <w:tabs>
          <w:tab w:val="right" w:pos="8953" w:leader="dot"/>
        </w:tabs>
      </w:pPr>
      <w:r>
        <w:rPr>
          <w:rFonts w:hint="eastAsia" w:ascii="宋体" w:hAnsi="宋体" w:eastAsia="宋体" w:cs="宋体"/>
          <w:color w:val="auto"/>
          <w:szCs w:val="21"/>
          <w:highlight w:val="none"/>
        </w:rPr>
        <w:fldChar w:fldCharType="begin"/>
      </w:r>
      <w:r>
        <w:rPr>
          <w:rFonts w:hint="eastAsia" w:ascii="宋体" w:hAnsi="宋体" w:eastAsia="宋体" w:cs="宋体"/>
          <w:szCs w:val="21"/>
          <w:highlight w:val="none"/>
        </w:rPr>
        <w:instrText xml:space="preserve"> HYPERLINK \l _Toc14086 </w:instrText>
      </w:r>
      <w:r>
        <w:rPr>
          <w:rFonts w:hint="eastAsia" w:ascii="宋体" w:hAnsi="宋体" w:eastAsia="宋体" w:cs="宋体"/>
          <w:szCs w:val="21"/>
          <w:highlight w:val="none"/>
        </w:rPr>
        <w:fldChar w:fldCharType="separate"/>
      </w:r>
      <w:r>
        <w:rPr>
          <w:rFonts w:hint="eastAsia" w:ascii="宋体" w:hAnsi="宋体" w:eastAsia="宋体" w:cs="宋体"/>
          <w:bCs/>
          <w:szCs w:val="44"/>
          <w:highlight w:val="none"/>
        </w:rPr>
        <w:t xml:space="preserve">第二章  供应商须知</w:t>
      </w:r>
      <w:r>
        <w:tab/>
      </w:r>
      <w:r>
        <w:fldChar w:fldCharType="begin"/>
      </w:r>
      <w:r>
        <w:instrText xml:space="preserve"> PAGEREF _Toc14086 \h </w:instrText>
      </w:r>
      <w:r>
        <w:fldChar w:fldCharType="separate"/>
      </w:r>
      <w:r>
        <w:t xml:space="preserve">5</w:t>
      </w:r>
      <w:r>
        <w:fldChar w:fldCharType="end"/>
      </w:r>
      <w:r>
        <w:rPr>
          <w:rFonts w:hint="eastAsia" w:ascii="宋体" w:hAnsi="宋体" w:eastAsia="宋体" w:cs="宋体"/>
          <w:color w:val="auto"/>
          <w:szCs w:val="21"/>
          <w:highlight w:val="none"/>
        </w:rPr>
        <w:fldChar w:fldCharType="end"/>
      </w:r>
      <w:r/>
    </w:p>
    <w:p>
      <w:pPr>
        <w:pStyle w:val="756"/>
        <w:tabs>
          <w:tab w:val="right" w:pos="8953" w:leader="dot"/>
        </w:tabs>
      </w:pPr>
      <w:r>
        <w:rPr>
          <w:rFonts w:hint="eastAsia" w:ascii="宋体" w:hAnsi="宋体" w:eastAsia="宋体" w:cs="宋体"/>
          <w:color w:val="auto"/>
          <w:szCs w:val="21"/>
          <w:highlight w:val="none"/>
        </w:rPr>
        <w:fldChar w:fldCharType="begin"/>
      </w:r>
      <w:r>
        <w:rPr>
          <w:rFonts w:hint="eastAsia" w:ascii="宋体" w:hAnsi="宋体" w:eastAsia="宋体" w:cs="宋体"/>
          <w:szCs w:val="21"/>
          <w:highlight w:val="none"/>
        </w:rPr>
        <w:instrText xml:space="preserve"> HYPERLINK \l _Toc5278 </w:instrText>
      </w:r>
      <w:r>
        <w:rPr>
          <w:rFonts w:hint="eastAsia" w:ascii="宋体" w:hAnsi="宋体" w:eastAsia="宋体" w:cs="宋体"/>
          <w:szCs w:val="21"/>
          <w:highlight w:val="none"/>
        </w:rPr>
        <w:fldChar w:fldCharType="separate"/>
      </w:r>
      <w:r>
        <w:rPr>
          <w:rFonts w:hint="eastAsia" w:ascii="宋体" w:hAnsi="宋体" w:eastAsia="宋体" w:cs="宋体"/>
          <w:highlight w:val="none"/>
          <w:lang w:val="en-US" w:eastAsia="zh-CN"/>
        </w:rPr>
        <w:t xml:space="preserve">供应商</w:t>
      </w:r>
      <w:r>
        <w:rPr>
          <w:rFonts w:hint="eastAsia" w:ascii="宋体" w:hAnsi="宋体" w:eastAsia="宋体" w:cs="宋体"/>
          <w:highlight w:val="none"/>
        </w:rPr>
        <w:t xml:space="preserve">须知前附表：</w:t>
      </w:r>
      <w:r>
        <w:tab/>
      </w:r>
      <w:r>
        <w:fldChar w:fldCharType="begin"/>
      </w:r>
      <w:r>
        <w:instrText xml:space="preserve"> PAGEREF _Toc5278 \h </w:instrText>
      </w:r>
      <w:r>
        <w:fldChar w:fldCharType="separate"/>
      </w:r>
      <w:r>
        <w:t xml:space="preserve">5</w:t>
      </w:r>
      <w:r>
        <w:fldChar w:fldCharType="end"/>
      </w:r>
      <w:r>
        <w:rPr>
          <w:rFonts w:hint="eastAsia" w:ascii="宋体" w:hAnsi="宋体" w:eastAsia="宋体" w:cs="宋体"/>
          <w:color w:val="auto"/>
          <w:szCs w:val="21"/>
          <w:highlight w:val="none"/>
        </w:rPr>
        <w:fldChar w:fldCharType="end"/>
      </w:r>
      <w:r/>
    </w:p>
    <w:p>
      <w:pPr>
        <w:pStyle w:val="756"/>
        <w:tabs>
          <w:tab w:val="right" w:pos="8953" w:leader="dot"/>
        </w:tabs>
      </w:pPr>
      <w:r>
        <w:rPr>
          <w:rFonts w:hint="eastAsia" w:ascii="宋体" w:hAnsi="宋体" w:eastAsia="宋体" w:cs="宋体"/>
          <w:color w:val="auto"/>
          <w:szCs w:val="21"/>
          <w:highlight w:val="none"/>
        </w:rPr>
        <w:fldChar w:fldCharType="begin"/>
      </w:r>
      <w:r>
        <w:rPr>
          <w:rFonts w:hint="eastAsia" w:ascii="宋体" w:hAnsi="宋体" w:eastAsia="宋体" w:cs="宋体"/>
          <w:szCs w:val="21"/>
          <w:highlight w:val="none"/>
        </w:rPr>
        <w:instrText xml:space="preserve"> HYPERLINK \l _Toc8893 </w:instrText>
      </w:r>
      <w:r>
        <w:rPr>
          <w:rFonts w:hint="eastAsia" w:ascii="宋体" w:hAnsi="宋体" w:eastAsia="宋体" w:cs="宋体"/>
          <w:szCs w:val="21"/>
          <w:highlight w:val="none"/>
        </w:rPr>
        <w:fldChar w:fldCharType="separate"/>
      </w:r>
      <w:r>
        <w:rPr>
          <w:rFonts w:hint="eastAsia" w:ascii="宋体" w:hAnsi="宋体" w:eastAsia="宋体" w:cs="宋体"/>
          <w:bCs/>
          <w:szCs w:val="24"/>
          <w:highlight w:val="none"/>
        </w:rPr>
        <w:t xml:space="preserve">一、总则</w:t>
      </w:r>
      <w:r>
        <w:tab/>
      </w:r>
      <w:r>
        <w:fldChar w:fldCharType="begin"/>
      </w:r>
      <w:r>
        <w:instrText xml:space="preserve"> PAGEREF _Toc8893 \h </w:instrText>
      </w:r>
      <w:r>
        <w:fldChar w:fldCharType="separate"/>
      </w:r>
      <w:r>
        <w:t xml:space="preserve">6</w:t>
      </w:r>
      <w:r>
        <w:fldChar w:fldCharType="end"/>
      </w:r>
      <w:r>
        <w:rPr>
          <w:rFonts w:hint="eastAsia" w:ascii="宋体" w:hAnsi="宋体" w:eastAsia="宋体" w:cs="宋体"/>
          <w:color w:val="auto"/>
          <w:szCs w:val="21"/>
          <w:highlight w:val="none"/>
        </w:rPr>
        <w:fldChar w:fldCharType="end"/>
      </w:r>
      <w:r/>
    </w:p>
    <w:p>
      <w:pPr>
        <w:pStyle w:val="756"/>
        <w:tabs>
          <w:tab w:val="right" w:pos="8953" w:leader="dot"/>
        </w:tabs>
      </w:pPr>
      <w:r>
        <w:rPr>
          <w:rFonts w:hint="eastAsia" w:ascii="宋体" w:hAnsi="宋体" w:eastAsia="宋体" w:cs="宋体"/>
          <w:color w:val="auto"/>
          <w:szCs w:val="21"/>
          <w:highlight w:val="none"/>
        </w:rPr>
        <w:fldChar w:fldCharType="begin"/>
      </w:r>
      <w:r>
        <w:rPr>
          <w:rFonts w:hint="eastAsia" w:ascii="宋体" w:hAnsi="宋体" w:eastAsia="宋体" w:cs="宋体"/>
          <w:szCs w:val="21"/>
          <w:highlight w:val="none"/>
        </w:rPr>
        <w:instrText xml:space="preserve"> HYPERLINK \l _Toc13144 </w:instrText>
      </w:r>
      <w:r>
        <w:rPr>
          <w:rFonts w:hint="eastAsia" w:ascii="宋体" w:hAnsi="宋体" w:eastAsia="宋体" w:cs="宋体"/>
          <w:szCs w:val="21"/>
          <w:highlight w:val="none"/>
        </w:rPr>
        <w:fldChar w:fldCharType="separate"/>
      </w:r>
      <w:r>
        <w:rPr>
          <w:rFonts w:hint="eastAsia" w:ascii="宋体" w:hAnsi="宋体" w:eastAsia="宋体" w:cs="宋体"/>
          <w:bCs/>
          <w:szCs w:val="24"/>
          <w:highlight w:val="none"/>
        </w:rPr>
        <w:t xml:space="preserve">二、磋商文件</w:t>
      </w:r>
      <w:r>
        <w:tab/>
      </w:r>
      <w:r>
        <w:fldChar w:fldCharType="begin"/>
      </w:r>
      <w:r>
        <w:instrText xml:space="preserve"> PAGEREF _Toc13144 \h </w:instrText>
      </w:r>
      <w:r>
        <w:fldChar w:fldCharType="separate"/>
      </w:r>
      <w:r>
        <w:t xml:space="preserve">6</w:t>
      </w:r>
      <w:r>
        <w:fldChar w:fldCharType="end"/>
      </w:r>
      <w:r>
        <w:rPr>
          <w:rFonts w:hint="eastAsia" w:ascii="宋体" w:hAnsi="宋体" w:eastAsia="宋体" w:cs="宋体"/>
          <w:color w:val="auto"/>
          <w:szCs w:val="21"/>
          <w:highlight w:val="none"/>
        </w:rPr>
        <w:fldChar w:fldCharType="end"/>
      </w:r>
      <w:r/>
    </w:p>
    <w:p>
      <w:pPr>
        <w:pStyle w:val="756"/>
        <w:tabs>
          <w:tab w:val="right" w:pos="8953" w:leader="dot"/>
        </w:tabs>
      </w:pPr>
      <w:r>
        <w:rPr>
          <w:rFonts w:hint="eastAsia" w:ascii="宋体" w:hAnsi="宋体" w:eastAsia="宋体" w:cs="宋体"/>
          <w:color w:val="auto"/>
          <w:szCs w:val="21"/>
          <w:highlight w:val="none"/>
        </w:rPr>
        <w:fldChar w:fldCharType="begin"/>
      </w:r>
      <w:r>
        <w:rPr>
          <w:rFonts w:hint="eastAsia" w:ascii="宋体" w:hAnsi="宋体" w:eastAsia="宋体" w:cs="宋体"/>
          <w:szCs w:val="21"/>
          <w:highlight w:val="none"/>
        </w:rPr>
        <w:instrText xml:space="preserve"> HYPERLINK \l _Toc402 </w:instrText>
      </w:r>
      <w:r>
        <w:rPr>
          <w:rFonts w:hint="eastAsia" w:ascii="宋体" w:hAnsi="宋体" w:eastAsia="宋体" w:cs="宋体"/>
          <w:szCs w:val="21"/>
          <w:highlight w:val="none"/>
        </w:rPr>
        <w:fldChar w:fldCharType="separate"/>
      </w:r>
      <w:r>
        <w:rPr>
          <w:rFonts w:hint="eastAsia" w:ascii="宋体" w:hAnsi="宋体" w:eastAsia="宋体" w:cs="宋体"/>
          <w:bCs/>
          <w:szCs w:val="24"/>
          <w:highlight w:val="none"/>
        </w:rPr>
        <w:t xml:space="preserve">三、响应文件的编制</w:t>
      </w:r>
      <w:r>
        <w:tab/>
      </w:r>
      <w:r>
        <w:fldChar w:fldCharType="begin"/>
      </w:r>
      <w:r>
        <w:instrText xml:space="preserve"> PAGEREF _Toc402 \h </w:instrText>
      </w:r>
      <w:r>
        <w:fldChar w:fldCharType="separate"/>
      </w:r>
      <w:r>
        <w:t xml:space="preserve">7</w:t>
      </w:r>
      <w:r>
        <w:fldChar w:fldCharType="end"/>
      </w:r>
      <w:r>
        <w:rPr>
          <w:rFonts w:hint="eastAsia" w:ascii="宋体" w:hAnsi="宋体" w:eastAsia="宋体" w:cs="宋体"/>
          <w:color w:val="auto"/>
          <w:szCs w:val="21"/>
          <w:highlight w:val="none"/>
        </w:rPr>
        <w:fldChar w:fldCharType="end"/>
      </w:r>
      <w:r/>
    </w:p>
    <w:p>
      <w:pPr>
        <w:pStyle w:val="756"/>
        <w:tabs>
          <w:tab w:val="right" w:pos="8953" w:leader="dot"/>
        </w:tabs>
      </w:pPr>
      <w:r>
        <w:rPr>
          <w:rFonts w:hint="eastAsia" w:ascii="宋体" w:hAnsi="宋体" w:eastAsia="宋体" w:cs="宋体"/>
          <w:color w:val="auto"/>
          <w:szCs w:val="21"/>
          <w:highlight w:val="none"/>
        </w:rPr>
        <w:fldChar w:fldCharType="begin"/>
      </w:r>
      <w:r>
        <w:rPr>
          <w:rFonts w:hint="eastAsia" w:ascii="宋体" w:hAnsi="宋体" w:eastAsia="宋体" w:cs="宋体"/>
          <w:szCs w:val="21"/>
          <w:highlight w:val="none"/>
        </w:rPr>
        <w:instrText xml:space="preserve"> HYPERLINK \l _Toc17399 </w:instrText>
      </w:r>
      <w:r>
        <w:rPr>
          <w:rFonts w:hint="eastAsia" w:ascii="宋体" w:hAnsi="宋体" w:eastAsia="宋体" w:cs="宋体"/>
          <w:szCs w:val="21"/>
          <w:highlight w:val="none"/>
        </w:rPr>
        <w:fldChar w:fldCharType="separate"/>
      </w:r>
      <w:r>
        <w:rPr>
          <w:rFonts w:hint="eastAsia" w:ascii="宋体" w:hAnsi="宋体" w:eastAsia="宋体" w:cs="宋体"/>
          <w:bCs/>
          <w:szCs w:val="24"/>
          <w:highlight w:val="none"/>
        </w:rPr>
        <w:t xml:space="preserve">四、响应文件的递交</w:t>
      </w:r>
      <w:r>
        <w:tab/>
      </w:r>
      <w:r>
        <w:fldChar w:fldCharType="begin"/>
      </w:r>
      <w:r>
        <w:instrText xml:space="preserve"> PAGEREF _Toc17399 \h </w:instrText>
      </w:r>
      <w:r>
        <w:fldChar w:fldCharType="separate"/>
      </w:r>
      <w:r>
        <w:t xml:space="preserve">10</w:t>
      </w:r>
      <w:r>
        <w:fldChar w:fldCharType="end"/>
      </w:r>
      <w:r>
        <w:rPr>
          <w:rFonts w:hint="eastAsia" w:ascii="宋体" w:hAnsi="宋体" w:eastAsia="宋体" w:cs="宋体"/>
          <w:color w:val="auto"/>
          <w:szCs w:val="21"/>
          <w:highlight w:val="none"/>
        </w:rPr>
        <w:fldChar w:fldCharType="end"/>
      </w:r>
      <w:r/>
    </w:p>
    <w:p>
      <w:pPr>
        <w:pStyle w:val="756"/>
        <w:tabs>
          <w:tab w:val="right" w:pos="8953" w:leader="dot"/>
        </w:tabs>
      </w:pPr>
      <w:r>
        <w:rPr>
          <w:rFonts w:hint="eastAsia" w:ascii="宋体" w:hAnsi="宋体" w:eastAsia="宋体" w:cs="宋体"/>
          <w:color w:val="auto"/>
          <w:szCs w:val="21"/>
          <w:highlight w:val="none"/>
        </w:rPr>
        <w:fldChar w:fldCharType="begin"/>
      </w:r>
      <w:r>
        <w:rPr>
          <w:rFonts w:hint="eastAsia" w:ascii="宋体" w:hAnsi="宋体" w:eastAsia="宋体" w:cs="宋体"/>
          <w:szCs w:val="21"/>
          <w:highlight w:val="none"/>
        </w:rPr>
        <w:instrText xml:space="preserve"> HYPERLINK \l _Toc11774 </w:instrText>
      </w:r>
      <w:r>
        <w:rPr>
          <w:rFonts w:hint="eastAsia" w:ascii="宋体" w:hAnsi="宋体" w:eastAsia="宋体" w:cs="宋体"/>
          <w:szCs w:val="21"/>
          <w:highlight w:val="none"/>
        </w:rPr>
        <w:fldChar w:fldCharType="separate"/>
      </w:r>
      <w:r>
        <w:rPr>
          <w:rFonts w:hint="eastAsia" w:ascii="宋体" w:hAnsi="宋体" w:eastAsia="宋体" w:cs="宋体"/>
          <w:bCs/>
          <w:szCs w:val="24"/>
          <w:highlight w:val="none"/>
        </w:rPr>
        <w:t xml:space="preserve">五、响应文件的解密与评审</w:t>
      </w:r>
      <w:r>
        <w:tab/>
      </w:r>
      <w:r>
        <w:fldChar w:fldCharType="begin"/>
      </w:r>
      <w:r>
        <w:instrText xml:space="preserve"> PAGEREF _Toc11774 \h </w:instrText>
      </w:r>
      <w:r>
        <w:fldChar w:fldCharType="separate"/>
      </w:r>
      <w:r>
        <w:t xml:space="preserve">11</w:t>
      </w:r>
      <w:r>
        <w:fldChar w:fldCharType="end"/>
      </w:r>
      <w:r>
        <w:rPr>
          <w:rFonts w:hint="eastAsia" w:ascii="宋体" w:hAnsi="宋体" w:eastAsia="宋体" w:cs="宋体"/>
          <w:color w:val="auto"/>
          <w:szCs w:val="21"/>
          <w:highlight w:val="none"/>
        </w:rPr>
        <w:fldChar w:fldCharType="end"/>
      </w:r>
      <w:r/>
    </w:p>
    <w:p>
      <w:pPr>
        <w:pStyle w:val="756"/>
        <w:tabs>
          <w:tab w:val="right" w:pos="8953" w:leader="dot"/>
        </w:tabs>
      </w:pPr>
      <w:r>
        <w:rPr>
          <w:rFonts w:hint="eastAsia" w:ascii="宋体" w:hAnsi="宋体" w:eastAsia="宋体" w:cs="宋体"/>
          <w:color w:val="auto"/>
          <w:szCs w:val="21"/>
          <w:highlight w:val="none"/>
        </w:rPr>
        <w:fldChar w:fldCharType="begin"/>
      </w:r>
      <w:r>
        <w:rPr>
          <w:rFonts w:hint="eastAsia" w:ascii="宋体" w:hAnsi="宋体" w:eastAsia="宋体" w:cs="宋体"/>
          <w:szCs w:val="21"/>
          <w:highlight w:val="none"/>
        </w:rPr>
        <w:instrText xml:space="preserve"> HYPERLINK \l _Toc29432 </w:instrText>
      </w:r>
      <w:r>
        <w:rPr>
          <w:rFonts w:hint="eastAsia" w:ascii="宋体" w:hAnsi="宋体" w:eastAsia="宋体" w:cs="宋体"/>
          <w:szCs w:val="21"/>
          <w:highlight w:val="none"/>
        </w:rPr>
        <w:fldChar w:fldCharType="separate"/>
      </w:r>
      <w:r>
        <w:rPr>
          <w:rFonts w:hint="eastAsia" w:ascii="宋体" w:hAnsi="宋体" w:eastAsia="宋体" w:cs="宋体"/>
          <w:bCs/>
          <w:szCs w:val="24"/>
          <w:highlight w:val="none"/>
        </w:rPr>
        <w:t xml:space="preserve">六、成交</w:t>
      </w:r>
      <w:r>
        <w:tab/>
      </w:r>
      <w:r>
        <w:fldChar w:fldCharType="begin"/>
      </w:r>
      <w:r>
        <w:instrText xml:space="preserve"> PAGEREF _Toc29432 \h </w:instrText>
      </w:r>
      <w:r>
        <w:fldChar w:fldCharType="separate"/>
      </w:r>
      <w:r>
        <w:t xml:space="preserve">17</w:t>
      </w:r>
      <w:r>
        <w:fldChar w:fldCharType="end"/>
      </w:r>
      <w:r>
        <w:rPr>
          <w:rFonts w:hint="eastAsia" w:ascii="宋体" w:hAnsi="宋体" w:eastAsia="宋体" w:cs="宋体"/>
          <w:color w:val="auto"/>
          <w:szCs w:val="21"/>
          <w:highlight w:val="none"/>
        </w:rPr>
        <w:fldChar w:fldCharType="end"/>
      </w:r>
      <w:r/>
    </w:p>
    <w:p>
      <w:pPr>
        <w:pStyle w:val="756"/>
        <w:tabs>
          <w:tab w:val="right" w:pos="8953" w:leader="dot"/>
        </w:tabs>
      </w:pPr>
      <w:r>
        <w:rPr>
          <w:rFonts w:hint="eastAsia" w:ascii="宋体" w:hAnsi="宋体" w:eastAsia="宋体" w:cs="宋体"/>
          <w:color w:val="auto"/>
          <w:szCs w:val="21"/>
          <w:highlight w:val="none"/>
        </w:rPr>
        <w:fldChar w:fldCharType="begin"/>
      </w:r>
      <w:r>
        <w:rPr>
          <w:rFonts w:hint="eastAsia" w:ascii="宋体" w:hAnsi="宋体" w:eastAsia="宋体" w:cs="宋体"/>
          <w:szCs w:val="21"/>
          <w:highlight w:val="none"/>
        </w:rPr>
        <w:instrText xml:space="preserve"> HYPERLINK \l _Toc5838 </w:instrText>
      </w:r>
      <w:r>
        <w:rPr>
          <w:rFonts w:hint="eastAsia" w:ascii="宋体" w:hAnsi="宋体" w:eastAsia="宋体" w:cs="宋体"/>
          <w:szCs w:val="21"/>
          <w:highlight w:val="none"/>
        </w:rPr>
        <w:fldChar w:fldCharType="separate"/>
      </w:r>
      <w:r>
        <w:rPr>
          <w:rFonts w:hint="eastAsia" w:ascii="宋体" w:hAnsi="宋体" w:eastAsia="宋体" w:cs="宋体"/>
          <w:bCs/>
          <w:szCs w:val="24"/>
          <w:highlight w:val="none"/>
        </w:rPr>
        <w:t xml:space="preserve">七、授予合同</w:t>
      </w:r>
      <w:r>
        <w:tab/>
      </w:r>
      <w:r>
        <w:fldChar w:fldCharType="begin"/>
      </w:r>
      <w:r>
        <w:instrText xml:space="preserve"> PAGEREF _Toc5838 \h </w:instrText>
      </w:r>
      <w:r>
        <w:fldChar w:fldCharType="separate"/>
      </w:r>
      <w:r>
        <w:t xml:space="preserve">20</w:t>
      </w:r>
      <w:r>
        <w:fldChar w:fldCharType="end"/>
      </w:r>
      <w:r>
        <w:rPr>
          <w:rFonts w:hint="eastAsia" w:ascii="宋体" w:hAnsi="宋体" w:eastAsia="宋体" w:cs="宋体"/>
          <w:color w:val="auto"/>
          <w:szCs w:val="21"/>
          <w:highlight w:val="none"/>
        </w:rPr>
        <w:fldChar w:fldCharType="end"/>
      </w:r>
      <w:r/>
    </w:p>
    <w:p>
      <w:pPr>
        <w:pStyle w:val="750"/>
        <w:tabs>
          <w:tab w:val="right" w:pos="8953" w:leader="dot"/>
        </w:tabs>
      </w:pPr>
      <w:r>
        <w:rPr>
          <w:rFonts w:hint="eastAsia" w:ascii="宋体" w:hAnsi="宋体" w:eastAsia="宋体" w:cs="宋体"/>
          <w:color w:val="auto"/>
          <w:szCs w:val="21"/>
          <w:highlight w:val="none"/>
        </w:rPr>
        <w:fldChar w:fldCharType="begin"/>
      </w:r>
      <w:r>
        <w:rPr>
          <w:rFonts w:hint="eastAsia" w:ascii="宋体" w:hAnsi="宋体" w:eastAsia="宋体" w:cs="宋体"/>
          <w:szCs w:val="21"/>
          <w:highlight w:val="none"/>
        </w:rPr>
        <w:instrText xml:space="preserve"> HYPERLINK \l _Toc7980 </w:instrText>
      </w:r>
      <w:r>
        <w:rPr>
          <w:rFonts w:hint="eastAsia" w:ascii="宋体" w:hAnsi="宋体" w:eastAsia="宋体" w:cs="宋体"/>
          <w:szCs w:val="21"/>
          <w:highlight w:val="none"/>
        </w:rPr>
        <w:fldChar w:fldCharType="separate"/>
      </w:r>
      <w:r>
        <w:rPr>
          <w:rFonts w:hint="eastAsia" w:ascii="宋体" w:hAnsi="宋体" w:eastAsia="宋体" w:cs="宋体"/>
          <w:bCs/>
          <w:szCs w:val="44"/>
          <w:highlight w:val="none"/>
        </w:rPr>
        <w:t xml:space="preserve">第三章  合同文本</w:t>
      </w:r>
      <w:r>
        <w:tab/>
      </w:r>
      <w:r>
        <w:fldChar w:fldCharType="begin"/>
      </w:r>
      <w:r>
        <w:instrText xml:space="preserve"> PAGEREF _Toc7980 \h </w:instrText>
      </w:r>
      <w:r>
        <w:fldChar w:fldCharType="separate"/>
      </w:r>
      <w:r>
        <w:t xml:space="preserve">23</w:t>
      </w:r>
      <w:r>
        <w:fldChar w:fldCharType="end"/>
      </w:r>
      <w:r>
        <w:rPr>
          <w:rFonts w:hint="eastAsia" w:ascii="宋体" w:hAnsi="宋体" w:eastAsia="宋体" w:cs="宋体"/>
          <w:color w:val="auto"/>
          <w:szCs w:val="21"/>
          <w:highlight w:val="none"/>
        </w:rPr>
        <w:fldChar w:fldCharType="end"/>
      </w:r>
      <w:r/>
    </w:p>
    <w:p>
      <w:pPr>
        <w:pStyle w:val="750"/>
        <w:tabs>
          <w:tab w:val="right" w:pos="8953" w:leader="dot"/>
        </w:tabs>
      </w:pPr>
      <w:r>
        <w:rPr>
          <w:rFonts w:hint="eastAsia" w:ascii="宋体" w:hAnsi="宋体" w:eastAsia="宋体" w:cs="宋体"/>
          <w:color w:val="auto"/>
          <w:szCs w:val="21"/>
          <w:highlight w:val="none"/>
        </w:rPr>
        <w:fldChar w:fldCharType="begin"/>
      </w:r>
      <w:r>
        <w:rPr>
          <w:rFonts w:hint="eastAsia" w:ascii="宋体" w:hAnsi="宋体" w:eastAsia="宋体" w:cs="宋体"/>
          <w:szCs w:val="21"/>
          <w:highlight w:val="none"/>
        </w:rPr>
        <w:instrText xml:space="preserve"> HYPERLINK \l _Toc1505 </w:instrText>
      </w:r>
      <w:r>
        <w:rPr>
          <w:rFonts w:hint="eastAsia" w:ascii="宋体" w:hAnsi="宋体" w:eastAsia="宋体" w:cs="宋体"/>
          <w:szCs w:val="21"/>
          <w:highlight w:val="none"/>
        </w:rPr>
        <w:fldChar w:fldCharType="separate"/>
      </w:r>
      <w:r>
        <w:rPr>
          <w:rFonts w:hint="eastAsia" w:ascii="宋体" w:hAnsi="宋体" w:eastAsia="宋体" w:cs="宋体"/>
          <w:bCs/>
          <w:szCs w:val="44"/>
          <w:highlight w:val="none"/>
        </w:rPr>
        <w:t xml:space="preserve">第四章  采购需求</w:t>
      </w:r>
      <w:r>
        <w:tab/>
      </w:r>
      <w:r>
        <w:fldChar w:fldCharType="begin"/>
      </w:r>
      <w:r>
        <w:instrText xml:space="preserve"> PAGEREF _Toc1505 \h </w:instrText>
      </w:r>
      <w:r>
        <w:fldChar w:fldCharType="separate"/>
      </w:r>
      <w:r>
        <w:t xml:space="preserve">28</w:t>
      </w:r>
      <w:r>
        <w:fldChar w:fldCharType="end"/>
      </w:r>
      <w:r>
        <w:rPr>
          <w:rFonts w:hint="eastAsia" w:ascii="宋体" w:hAnsi="宋体" w:eastAsia="宋体" w:cs="宋体"/>
          <w:color w:val="auto"/>
          <w:szCs w:val="21"/>
          <w:highlight w:val="none"/>
        </w:rPr>
        <w:fldChar w:fldCharType="end"/>
      </w:r>
      <w:r/>
    </w:p>
    <w:p>
      <w:pPr>
        <w:pStyle w:val="750"/>
        <w:tabs>
          <w:tab w:val="right" w:pos="8953" w:leader="dot"/>
        </w:tabs>
      </w:pPr>
      <w:r>
        <w:rPr>
          <w:rFonts w:hint="eastAsia" w:ascii="宋体" w:hAnsi="宋体" w:eastAsia="宋体" w:cs="宋体"/>
          <w:color w:val="auto"/>
          <w:szCs w:val="21"/>
          <w:highlight w:val="none"/>
        </w:rPr>
        <w:fldChar w:fldCharType="begin"/>
      </w:r>
      <w:r>
        <w:rPr>
          <w:rFonts w:hint="eastAsia" w:ascii="宋体" w:hAnsi="宋体" w:eastAsia="宋体" w:cs="宋体"/>
          <w:szCs w:val="21"/>
          <w:highlight w:val="none"/>
        </w:rPr>
        <w:instrText xml:space="preserve"> HYPERLINK \l _Toc5 </w:instrText>
      </w:r>
      <w:r>
        <w:rPr>
          <w:rFonts w:hint="eastAsia" w:ascii="宋体" w:hAnsi="宋体" w:eastAsia="宋体" w:cs="宋体"/>
          <w:szCs w:val="21"/>
          <w:highlight w:val="none"/>
        </w:rPr>
        <w:fldChar w:fldCharType="separate"/>
      </w:r>
      <w:r>
        <w:rPr>
          <w:rFonts w:hint="eastAsia" w:ascii="宋体" w:hAnsi="宋体" w:eastAsia="宋体" w:cs="宋体"/>
          <w:bCs/>
          <w:szCs w:val="44"/>
          <w:highlight w:val="none"/>
        </w:rPr>
        <w:t xml:space="preserve">第五章  评审方法与评审标准</w:t>
      </w:r>
      <w:r>
        <w:tab/>
      </w:r>
      <w:r>
        <w:fldChar w:fldCharType="begin"/>
      </w:r>
      <w:r>
        <w:instrText xml:space="preserve"> PAGEREF _Toc5 \h </w:instrText>
      </w:r>
      <w:r>
        <w:fldChar w:fldCharType="separate"/>
      </w:r>
      <w:r>
        <w:t xml:space="preserve">32</w:t>
      </w:r>
      <w:r>
        <w:fldChar w:fldCharType="end"/>
      </w:r>
      <w:r>
        <w:rPr>
          <w:rFonts w:hint="eastAsia" w:ascii="宋体" w:hAnsi="宋体" w:eastAsia="宋体" w:cs="宋体"/>
          <w:color w:val="auto"/>
          <w:szCs w:val="21"/>
          <w:highlight w:val="none"/>
        </w:rPr>
        <w:fldChar w:fldCharType="end"/>
      </w:r>
      <w:r/>
    </w:p>
    <w:p>
      <w:pPr>
        <w:pStyle w:val="750"/>
        <w:tabs>
          <w:tab w:val="right" w:pos="8953" w:leader="dot"/>
        </w:tabs>
      </w:pPr>
      <w:r>
        <w:rPr>
          <w:rFonts w:hint="eastAsia" w:ascii="宋体" w:hAnsi="宋体" w:eastAsia="宋体" w:cs="宋体"/>
          <w:color w:val="auto"/>
          <w:szCs w:val="21"/>
          <w:highlight w:val="none"/>
        </w:rPr>
        <w:fldChar w:fldCharType="begin"/>
      </w:r>
      <w:r>
        <w:rPr>
          <w:rFonts w:hint="eastAsia" w:ascii="宋体" w:hAnsi="宋体" w:eastAsia="宋体" w:cs="宋体"/>
          <w:szCs w:val="21"/>
          <w:highlight w:val="none"/>
        </w:rPr>
        <w:instrText xml:space="preserve"> HYPERLINK \l _Toc15813 </w:instrText>
      </w:r>
      <w:r>
        <w:rPr>
          <w:rFonts w:hint="eastAsia" w:ascii="宋体" w:hAnsi="宋体" w:eastAsia="宋体" w:cs="宋体"/>
          <w:szCs w:val="21"/>
          <w:highlight w:val="none"/>
        </w:rPr>
        <w:fldChar w:fldCharType="separate"/>
      </w:r>
      <w:r>
        <w:rPr>
          <w:rFonts w:hint="eastAsia" w:ascii="宋体" w:hAnsi="宋体" w:eastAsia="宋体" w:cs="宋体"/>
          <w:szCs w:val="28"/>
          <w:highlight w:val="none"/>
        </w:rPr>
        <w:t xml:space="preserve">第六章  响应文件格式</w:t>
      </w:r>
      <w:r>
        <w:tab/>
      </w:r>
      <w:r>
        <w:fldChar w:fldCharType="begin"/>
      </w:r>
      <w:r>
        <w:instrText xml:space="preserve"> PAGEREF _Toc15813 \h </w:instrText>
      </w:r>
      <w:r>
        <w:fldChar w:fldCharType="separate"/>
      </w:r>
      <w:r>
        <w:t xml:space="preserve">39</w:t>
      </w:r>
      <w:r>
        <w:fldChar w:fldCharType="end"/>
      </w:r>
      <w:r>
        <w:rPr>
          <w:rFonts w:hint="eastAsia" w:ascii="宋体" w:hAnsi="宋体" w:eastAsia="宋体" w:cs="宋体"/>
          <w:color w:val="auto"/>
          <w:szCs w:val="21"/>
          <w:highlight w:val="none"/>
        </w:rPr>
        <w:fldChar w:fldCharType="end"/>
      </w:r>
      <w:r/>
    </w:p>
    <w:p>
      <w:pPr>
        <w:pStyle w:val="756"/>
        <w:tabs>
          <w:tab w:val="right" w:pos="8953" w:leader="dot"/>
        </w:tabs>
      </w:pPr>
      <w:r>
        <w:rPr>
          <w:rFonts w:hint="eastAsia" w:ascii="宋体" w:hAnsi="宋体" w:eastAsia="宋体" w:cs="宋体"/>
          <w:color w:val="auto"/>
          <w:szCs w:val="21"/>
          <w:highlight w:val="none"/>
        </w:rPr>
        <w:fldChar w:fldCharType="begin"/>
      </w:r>
      <w:r>
        <w:rPr>
          <w:rFonts w:hint="eastAsia" w:ascii="宋体" w:hAnsi="宋体" w:eastAsia="宋体" w:cs="宋体"/>
          <w:szCs w:val="21"/>
          <w:highlight w:val="none"/>
        </w:rPr>
        <w:instrText xml:space="preserve"> HYPERLINK \l _Toc6957 </w:instrText>
      </w:r>
      <w:r>
        <w:rPr>
          <w:rFonts w:hint="eastAsia" w:ascii="宋体" w:hAnsi="宋体" w:eastAsia="宋体" w:cs="宋体"/>
          <w:szCs w:val="21"/>
          <w:highlight w:val="none"/>
        </w:rPr>
        <w:fldChar w:fldCharType="separate"/>
      </w:r>
      <w:r>
        <w:rPr>
          <w:rFonts w:hint="eastAsia" w:ascii="宋体" w:hAnsi="宋体" w:eastAsia="宋体" w:cs="宋体"/>
          <w:bCs/>
          <w:szCs w:val="32"/>
          <w:highlight w:val="none"/>
        </w:rPr>
        <w:t xml:space="preserve">响应文件目录</w:t>
      </w:r>
      <w:r>
        <w:tab/>
      </w:r>
      <w:r>
        <w:fldChar w:fldCharType="begin"/>
      </w:r>
      <w:r>
        <w:instrText xml:space="preserve"> PAGEREF _Toc6957 \h </w:instrText>
      </w:r>
      <w:r>
        <w:fldChar w:fldCharType="separate"/>
      </w:r>
      <w:r>
        <w:t xml:space="preserve">40</w:t>
      </w:r>
      <w:r>
        <w:fldChar w:fldCharType="end"/>
      </w:r>
      <w:r>
        <w:rPr>
          <w:rFonts w:hint="eastAsia" w:ascii="宋体" w:hAnsi="宋体" w:eastAsia="宋体" w:cs="宋体"/>
          <w:color w:val="auto"/>
          <w:szCs w:val="21"/>
          <w:highlight w:val="none"/>
        </w:rPr>
        <w:fldChar w:fldCharType="end"/>
      </w:r>
      <w:r/>
    </w:p>
    <w:p>
      <w:pPr>
        <w:pStyle w:val="756"/>
        <w:tabs>
          <w:tab w:val="right" w:pos="8953" w:leader="dot"/>
        </w:tabs>
      </w:pPr>
      <w:r>
        <w:rPr>
          <w:rFonts w:hint="eastAsia" w:ascii="宋体" w:hAnsi="宋体" w:eastAsia="宋体" w:cs="宋体"/>
          <w:color w:val="auto"/>
          <w:szCs w:val="21"/>
          <w:highlight w:val="none"/>
        </w:rPr>
        <w:fldChar w:fldCharType="begin"/>
      </w:r>
      <w:r>
        <w:rPr>
          <w:rFonts w:hint="eastAsia" w:ascii="宋体" w:hAnsi="宋体" w:eastAsia="宋体" w:cs="宋体"/>
          <w:szCs w:val="21"/>
          <w:highlight w:val="none"/>
        </w:rPr>
        <w:instrText xml:space="preserve"> HYPERLINK \l _Toc11628 </w:instrText>
      </w:r>
      <w:r>
        <w:rPr>
          <w:rFonts w:hint="eastAsia" w:ascii="宋体" w:hAnsi="宋体" w:eastAsia="宋体" w:cs="宋体"/>
          <w:szCs w:val="21"/>
          <w:highlight w:val="none"/>
        </w:rPr>
        <w:fldChar w:fldCharType="separate"/>
      </w:r>
      <w:r>
        <w:rPr>
          <w:rFonts w:hint="eastAsia" w:ascii="宋体" w:hAnsi="宋体" w:eastAsia="宋体" w:cs="宋体"/>
          <w:iCs/>
          <w:szCs w:val="32"/>
          <w:highlight w:val="none"/>
        </w:rPr>
        <w:t xml:space="preserve">一、</w:t>
      </w:r>
      <w:r>
        <w:rPr>
          <w:rFonts w:hint="eastAsia" w:ascii="宋体" w:hAnsi="宋体" w:eastAsia="宋体" w:cs="宋体"/>
          <w:iCs/>
          <w:szCs w:val="32"/>
          <w:highlight w:val="none"/>
          <w:lang w:eastAsia="zh-CN"/>
        </w:rPr>
        <w:t xml:space="preserve">响应声明及承诺函</w:t>
      </w:r>
      <w:r>
        <w:tab/>
      </w:r>
      <w:r>
        <w:fldChar w:fldCharType="begin"/>
      </w:r>
      <w:r>
        <w:instrText xml:space="preserve"> PAGEREF _Toc11628 \h </w:instrText>
      </w:r>
      <w:r>
        <w:fldChar w:fldCharType="separate"/>
      </w:r>
      <w:r>
        <w:t xml:space="preserve">41</w:t>
      </w:r>
      <w:r>
        <w:fldChar w:fldCharType="end"/>
      </w:r>
      <w:r>
        <w:rPr>
          <w:rFonts w:hint="eastAsia" w:ascii="宋体" w:hAnsi="宋体" w:eastAsia="宋体" w:cs="宋体"/>
          <w:color w:val="auto"/>
          <w:szCs w:val="21"/>
          <w:highlight w:val="none"/>
        </w:rPr>
        <w:fldChar w:fldCharType="end"/>
      </w:r>
      <w:r/>
    </w:p>
    <w:p>
      <w:pPr>
        <w:pStyle w:val="756"/>
        <w:tabs>
          <w:tab w:val="right" w:pos="8953" w:leader="dot"/>
        </w:tabs>
      </w:pPr>
      <w:r>
        <w:rPr>
          <w:rFonts w:hint="eastAsia" w:ascii="宋体" w:hAnsi="宋体" w:eastAsia="宋体" w:cs="宋体"/>
          <w:color w:val="auto"/>
          <w:szCs w:val="21"/>
          <w:highlight w:val="none"/>
        </w:rPr>
        <w:fldChar w:fldCharType="begin"/>
      </w:r>
      <w:r>
        <w:rPr>
          <w:rFonts w:hint="eastAsia" w:ascii="宋体" w:hAnsi="宋体" w:eastAsia="宋体" w:cs="宋体"/>
          <w:szCs w:val="21"/>
          <w:highlight w:val="none"/>
        </w:rPr>
        <w:instrText xml:space="preserve"> HYPERLINK \l _Toc27646 </w:instrText>
      </w:r>
      <w:r>
        <w:rPr>
          <w:rFonts w:hint="eastAsia" w:ascii="宋体" w:hAnsi="宋体" w:eastAsia="宋体" w:cs="宋体"/>
          <w:szCs w:val="21"/>
          <w:highlight w:val="none"/>
        </w:rPr>
        <w:fldChar w:fldCharType="separate"/>
      </w:r>
      <w:r>
        <w:rPr>
          <w:rFonts w:hint="eastAsia" w:ascii="宋体" w:hAnsi="宋体" w:eastAsia="宋体" w:cs="宋体"/>
          <w:iCs/>
          <w:szCs w:val="32"/>
          <w:highlight w:val="none"/>
        </w:rPr>
        <w:t xml:space="preserve">二、供应商基本信息</w:t>
      </w:r>
      <w:r>
        <w:tab/>
      </w:r>
      <w:r>
        <w:fldChar w:fldCharType="begin"/>
      </w:r>
      <w:r>
        <w:instrText xml:space="preserve"> PAGEREF _Toc27646 \h </w:instrText>
      </w:r>
      <w:r>
        <w:fldChar w:fldCharType="separate"/>
      </w:r>
      <w:r>
        <w:t xml:space="preserve">42</w:t>
      </w:r>
      <w:r>
        <w:fldChar w:fldCharType="end"/>
      </w:r>
      <w:r>
        <w:rPr>
          <w:rFonts w:hint="eastAsia" w:ascii="宋体" w:hAnsi="宋体" w:eastAsia="宋体" w:cs="宋体"/>
          <w:color w:val="auto"/>
          <w:szCs w:val="21"/>
          <w:highlight w:val="none"/>
        </w:rPr>
        <w:fldChar w:fldCharType="end"/>
      </w:r>
      <w:r/>
    </w:p>
    <w:p>
      <w:pPr>
        <w:pStyle w:val="756"/>
        <w:tabs>
          <w:tab w:val="right" w:pos="8953" w:leader="dot"/>
        </w:tabs>
      </w:pPr>
      <w:r>
        <w:rPr>
          <w:rFonts w:hint="eastAsia" w:ascii="宋体" w:hAnsi="宋体" w:eastAsia="宋体" w:cs="宋体"/>
          <w:color w:val="auto"/>
          <w:szCs w:val="21"/>
          <w:highlight w:val="none"/>
        </w:rPr>
        <w:fldChar w:fldCharType="begin"/>
      </w:r>
      <w:r>
        <w:rPr>
          <w:rFonts w:hint="eastAsia" w:ascii="宋体" w:hAnsi="宋体" w:eastAsia="宋体" w:cs="宋体"/>
          <w:szCs w:val="21"/>
          <w:highlight w:val="none"/>
        </w:rPr>
        <w:instrText xml:space="preserve"> HYPERLINK \l _Toc12873 </w:instrText>
      </w:r>
      <w:r>
        <w:rPr>
          <w:rFonts w:hint="eastAsia" w:ascii="宋体" w:hAnsi="宋体" w:eastAsia="宋体" w:cs="宋体"/>
          <w:szCs w:val="21"/>
          <w:highlight w:val="none"/>
        </w:rPr>
        <w:fldChar w:fldCharType="separate"/>
      </w:r>
      <w:r>
        <w:rPr>
          <w:rFonts w:hint="eastAsia" w:ascii="宋体" w:hAnsi="宋体" w:eastAsia="宋体" w:cs="宋体"/>
          <w:iCs/>
          <w:szCs w:val="32"/>
          <w:highlight w:val="none"/>
        </w:rPr>
        <w:t xml:space="preserve">三、特定资格要求的证明文件</w:t>
      </w:r>
      <w:r>
        <w:tab/>
      </w:r>
      <w:r>
        <w:fldChar w:fldCharType="begin"/>
      </w:r>
      <w:r>
        <w:instrText xml:space="preserve"> PAGEREF _Toc12873 \h </w:instrText>
      </w:r>
      <w:r>
        <w:fldChar w:fldCharType="separate"/>
      </w:r>
      <w:r>
        <w:t xml:space="preserve">43</w:t>
      </w:r>
      <w:r>
        <w:fldChar w:fldCharType="end"/>
      </w:r>
      <w:r>
        <w:rPr>
          <w:rFonts w:hint="eastAsia" w:ascii="宋体" w:hAnsi="宋体" w:eastAsia="宋体" w:cs="宋体"/>
          <w:color w:val="auto"/>
          <w:szCs w:val="21"/>
          <w:highlight w:val="none"/>
        </w:rPr>
        <w:fldChar w:fldCharType="end"/>
      </w:r>
      <w:r/>
    </w:p>
    <w:p>
      <w:pPr>
        <w:pStyle w:val="756"/>
        <w:tabs>
          <w:tab w:val="right" w:pos="8953" w:leader="dot"/>
        </w:tabs>
      </w:pPr>
      <w:r>
        <w:rPr>
          <w:rFonts w:hint="eastAsia" w:ascii="宋体" w:hAnsi="宋体" w:eastAsia="宋体" w:cs="宋体"/>
          <w:color w:val="auto"/>
          <w:szCs w:val="21"/>
          <w:highlight w:val="none"/>
        </w:rPr>
        <w:fldChar w:fldCharType="begin"/>
      </w:r>
      <w:r>
        <w:rPr>
          <w:rFonts w:hint="eastAsia" w:ascii="宋体" w:hAnsi="宋体" w:eastAsia="宋体" w:cs="宋体"/>
          <w:szCs w:val="21"/>
          <w:highlight w:val="none"/>
        </w:rPr>
        <w:instrText xml:space="preserve"> HYPERLINK \l _Toc29590 </w:instrText>
      </w:r>
      <w:r>
        <w:rPr>
          <w:rFonts w:hint="eastAsia" w:ascii="宋体" w:hAnsi="宋体" w:eastAsia="宋体" w:cs="宋体"/>
          <w:szCs w:val="21"/>
          <w:highlight w:val="none"/>
        </w:rPr>
        <w:fldChar w:fldCharType="separate"/>
      </w:r>
      <w:r>
        <w:rPr>
          <w:rFonts w:hint="eastAsia" w:ascii="宋体" w:hAnsi="宋体" w:eastAsia="宋体" w:cs="宋体"/>
          <w:iCs/>
          <w:szCs w:val="32"/>
          <w:highlight w:val="none"/>
        </w:rPr>
        <w:t xml:space="preserve">四、法人授权书</w:t>
      </w:r>
      <w:r>
        <w:tab/>
      </w:r>
      <w:r>
        <w:fldChar w:fldCharType="begin"/>
      </w:r>
      <w:r>
        <w:instrText xml:space="preserve"> PAGEREF _Toc29590 \h </w:instrText>
      </w:r>
      <w:r>
        <w:fldChar w:fldCharType="separate"/>
      </w:r>
      <w:r>
        <w:t xml:space="preserve">44</w:t>
      </w:r>
      <w:r>
        <w:fldChar w:fldCharType="end"/>
      </w:r>
      <w:r>
        <w:rPr>
          <w:rFonts w:hint="eastAsia" w:ascii="宋体" w:hAnsi="宋体" w:eastAsia="宋体" w:cs="宋体"/>
          <w:color w:val="auto"/>
          <w:szCs w:val="21"/>
          <w:highlight w:val="none"/>
        </w:rPr>
        <w:fldChar w:fldCharType="end"/>
      </w:r>
      <w:r/>
    </w:p>
    <w:p>
      <w:pPr>
        <w:pStyle w:val="756"/>
        <w:tabs>
          <w:tab w:val="right" w:pos="8953" w:leader="dot"/>
        </w:tabs>
      </w:pPr>
      <w:r>
        <w:rPr>
          <w:rFonts w:hint="eastAsia" w:ascii="宋体" w:hAnsi="宋体" w:eastAsia="宋体" w:cs="宋体"/>
          <w:color w:val="auto"/>
          <w:szCs w:val="21"/>
          <w:highlight w:val="none"/>
        </w:rPr>
        <w:fldChar w:fldCharType="begin"/>
      </w:r>
      <w:r>
        <w:rPr>
          <w:rFonts w:hint="eastAsia" w:ascii="宋体" w:hAnsi="宋体" w:eastAsia="宋体" w:cs="宋体"/>
          <w:szCs w:val="21"/>
          <w:highlight w:val="none"/>
        </w:rPr>
        <w:instrText xml:space="preserve"> HYPERLINK \l _Toc25748 </w:instrText>
      </w:r>
      <w:r>
        <w:rPr>
          <w:rFonts w:hint="eastAsia" w:ascii="宋体" w:hAnsi="宋体" w:eastAsia="宋体" w:cs="宋体"/>
          <w:szCs w:val="21"/>
          <w:highlight w:val="none"/>
        </w:rPr>
        <w:fldChar w:fldCharType="separate"/>
      </w:r>
      <w:r>
        <w:rPr>
          <w:rFonts w:hint="eastAsia" w:ascii="宋体" w:hAnsi="宋体" w:eastAsia="宋体" w:cs="宋体"/>
          <w:iCs/>
          <w:szCs w:val="32"/>
          <w:highlight w:val="none"/>
        </w:rPr>
        <w:t xml:space="preserve">五、中小（微）企业声明函（服务）</w:t>
      </w:r>
      <w:r>
        <w:tab/>
      </w:r>
      <w:r>
        <w:fldChar w:fldCharType="begin"/>
      </w:r>
      <w:r>
        <w:instrText xml:space="preserve"> PAGEREF _Toc25748 \h </w:instrText>
      </w:r>
      <w:r>
        <w:fldChar w:fldCharType="separate"/>
      </w:r>
      <w:r>
        <w:t xml:space="preserve">45</w:t>
      </w:r>
      <w:r>
        <w:fldChar w:fldCharType="end"/>
      </w:r>
      <w:r>
        <w:rPr>
          <w:rFonts w:hint="eastAsia" w:ascii="宋体" w:hAnsi="宋体" w:eastAsia="宋体" w:cs="宋体"/>
          <w:color w:val="auto"/>
          <w:szCs w:val="21"/>
          <w:highlight w:val="none"/>
        </w:rPr>
        <w:fldChar w:fldCharType="end"/>
      </w:r>
      <w:r/>
    </w:p>
    <w:p>
      <w:pPr>
        <w:pStyle w:val="756"/>
        <w:tabs>
          <w:tab w:val="right" w:pos="8953" w:leader="dot"/>
        </w:tabs>
      </w:pPr>
      <w:r>
        <w:rPr>
          <w:rFonts w:hint="eastAsia" w:ascii="宋体" w:hAnsi="宋体" w:eastAsia="宋体" w:cs="宋体"/>
          <w:color w:val="auto"/>
          <w:szCs w:val="21"/>
          <w:highlight w:val="none"/>
        </w:rPr>
        <w:fldChar w:fldCharType="begin"/>
      </w:r>
      <w:r>
        <w:rPr>
          <w:rFonts w:hint="eastAsia" w:ascii="宋体" w:hAnsi="宋体" w:eastAsia="宋体" w:cs="宋体"/>
          <w:szCs w:val="21"/>
          <w:highlight w:val="none"/>
        </w:rPr>
        <w:instrText xml:space="preserve"> HYPERLINK \l _Toc24214 </w:instrText>
      </w:r>
      <w:r>
        <w:rPr>
          <w:rFonts w:hint="eastAsia" w:ascii="宋体" w:hAnsi="宋体" w:eastAsia="宋体" w:cs="宋体"/>
          <w:szCs w:val="21"/>
          <w:highlight w:val="none"/>
        </w:rPr>
        <w:fldChar w:fldCharType="separate"/>
      </w:r>
      <w:r>
        <w:rPr>
          <w:rFonts w:hint="eastAsia" w:ascii="宋体" w:hAnsi="宋体" w:eastAsia="宋体" w:cs="宋体"/>
          <w:iCs/>
          <w:szCs w:val="32"/>
          <w:highlight w:val="none"/>
        </w:rPr>
        <w:t xml:space="preserve">六、报价一览表</w:t>
      </w:r>
      <w:r>
        <w:tab/>
      </w:r>
      <w:r>
        <w:fldChar w:fldCharType="begin"/>
      </w:r>
      <w:r>
        <w:instrText xml:space="preserve"> PAGEREF _Toc24214 \h </w:instrText>
      </w:r>
      <w:r>
        <w:fldChar w:fldCharType="separate"/>
      </w:r>
      <w:r>
        <w:t xml:space="preserve">47</w:t>
      </w:r>
      <w:r>
        <w:fldChar w:fldCharType="end"/>
      </w:r>
      <w:r>
        <w:rPr>
          <w:rFonts w:hint="eastAsia" w:ascii="宋体" w:hAnsi="宋体" w:eastAsia="宋体" w:cs="宋体"/>
          <w:color w:val="auto"/>
          <w:szCs w:val="21"/>
          <w:highlight w:val="none"/>
        </w:rPr>
        <w:fldChar w:fldCharType="end"/>
      </w:r>
      <w:r/>
    </w:p>
    <w:p>
      <w:pPr>
        <w:pStyle w:val="756"/>
        <w:tabs>
          <w:tab w:val="right" w:pos="8953" w:leader="dot"/>
        </w:tabs>
      </w:pPr>
      <w:r>
        <w:rPr>
          <w:rFonts w:hint="eastAsia" w:ascii="宋体" w:hAnsi="宋体" w:eastAsia="宋体" w:cs="宋体"/>
          <w:color w:val="auto"/>
          <w:szCs w:val="21"/>
          <w:highlight w:val="none"/>
        </w:rPr>
        <w:fldChar w:fldCharType="begin"/>
      </w:r>
      <w:r>
        <w:rPr>
          <w:rFonts w:hint="eastAsia" w:ascii="宋体" w:hAnsi="宋体" w:eastAsia="宋体" w:cs="宋体"/>
          <w:szCs w:val="21"/>
          <w:highlight w:val="none"/>
        </w:rPr>
        <w:instrText xml:space="preserve"> HYPERLINK \l _Toc1681 </w:instrText>
      </w:r>
      <w:r>
        <w:rPr>
          <w:rFonts w:hint="eastAsia" w:ascii="宋体" w:hAnsi="宋体" w:eastAsia="宋体" w:cs="宋体"/>
          <w:szCs w:val="21"/>
          <w:highlight w:val="none"/>
        </w:rPr>
        <w:fldChar w:fldCharType="separate"/>
      </w:r>
      <w:r>
        <w:rPr>
          <w:rFonts w:hint="eastAsia" w:ascii="宋体" w:hAnsi="宋体" w:eastAsia="宋体" w:cs="宋体"/>
          <w:iCs/>
          <w:szCs w:val="32"/>
          <w:highlight w:val="none"/>
        </w:rPr>
        <w:t xml:space="preserve">七、分项报价表（服务类）</w:t>
      </w:r>
      <w:r>
        <w:tab/>
      </w:r>
      <w:r>
        <w:fldChar w:fldCharType="begin"/>
      </w:r>
      <w:r>
        <w:instrText xml:space="preserve"> PAGEREF _Toc1681 \h </w:instrText>
      </w:r>
      <w:r>
        <w:fldChar w:fldCharType="separate"/>
      </w:r>
      <w:r>
        <w:t xml:space="preserve">48</w:t>
      </w:r>
      <w:r>
        <w:fldChar w:fldCharType="end"/>
      </w:r>
      <w:r>
        <w:rPr>
          <w:rFonts w:hint="eastAsia" w:ascii="宋体" w:hAnsi="宋体" w:eastAsia="宋体" w:cs="宋体"/>
          <w:color w:val="auto"/>
          <w:szCs w:val="21"/>
          <w:highlight w:val="none"/>
        </w:rPr>
        <w:fldChar w:fldCharType="end"/>
      </w:r>
      <w:r/>
    </w:p>
    <w:p>
      <w:pPr>
        <w:pStyle w:val="756"/>
        <w:tabs>
          <w:tab w:val="right" w:pos="8953" w:leader="dot"/>
        </w:tabs>
      </w:pPr>
      <w:r>
        <w:rPr>
          <w:rFonts w:hint="eastAsia" w:ascii="宋体" w:hAnsi="宋体" w:eastAsia="宋体" w:cs="宋体"/>
          <w:color w:val="auto"/>
          <w:szCs w:val="21"/>
          <w:highlight w:val="none"/>
        </w:rPr>
        <w:fldChar w:fldCharType="begin"/>
      </w:r>
      <w:r>
        <w:rPr>
          <w:rFonts w:hint="eastAsia" w:ascii="宋体" w:hAnsi="宋体" w:eastAsia="宋体" w:cs="宋体"/>
          <w:szCs w:val="21"/>
          <w:highlight w:val="none"/>
        </w:rPr>
        <w:instrText xml:space="preserve"> HYPERLINK \l _Toc5580 </w:instrText>
      </w:r>
      <w:r>
        <w:rPr>
          <w:rFonts w:hint="eastAsia" w:ascii="宋体" w:hAnsi="宋体" w:eastAsia="宋体" w:cs="宋体"/>
          <w:szCs w:val="21"/>
          <w:highlight w:val="none"/>
        </w:rPr>
        <w:fldChar w:fldCharType="separate"/>
      </w:r>
      <w:r>
        <w:rPr>
          <w:rFonts w:hint="eastAsia" w:ascii="宋体" w:hAnsi="宋体" w:eastAsia="宋体" w:cs="宋体"/>
          <w:iCs/>
          <w:szCs w:val="32"/>
          <w:highlight w:val="none"/>
        </w:rPr>
        <w:t xml:space="preserve">八、响应及偏离表</w:t>
      </w:r>
      <w:r>
        <w:tab/>
      </w:r>
      <w:r>
        <w:fldChar w:fldCharType="begin"/>
      </w:r>
      <w:r>
        <w:instrText xml:space="preserve"> PAGEREF _Toc5580 \h </w:instrText>
      </w:r>
      <w:r>
        <w:fldChar w:fldCharType="separate"/>
      </w:r>
      <w:r>
        <w:t xml:space="preserve">49</w:t>
      </w:r>
      <w:r>
        <w:fldChar w:fldCharType="end"/>
      </w:r>
      <w:r>
        <w:rPr>
          <w:rFonts w:hint="eastAsia" w:ascii="宋体" w:hAnsi="宋体" w:eastAsia="宋体" w:cs="宋体"/>
          <w:color w:val="auto"/>
          <w:szCs w:val="21"/>
          <w:highlight w:val="none"/>
        </w:rPr>
        <w:fldChar w:fldCharType="end"/>
      </w:r>
      <w:r/>
    </w:p>
    <w:p>
      <w:pPr>
        <w:pStyle w:val="756"/>
        <w:tabs>
          <w:tab w:val="right" w:pos="8953" w:leader="dot"/>
        </w:tabs>
      </w:pPr>
      <w:r>
        <w:rPr>
          <w:rFonts w:hint="eastAsia" w:ascii="宋体" w:hAnsi="宋体" w:eastAsia="宋体" w:cs="宋体"/>
          <w:color w:val="auto"/>
          <w:szCs w:val="21"/>
          <w:highlight w:val="none"/>
        </w:rPr>
        <w:fldChar w:fldCharType="begin"/>
      </w:r>
      <w:r>
        <w:rPr>
          <w:rFonts w:hint="eastAsia" w:ascii="宋体" w:hAnsi="宋体" w:eastAsia="宋体" w:cs="宋体"/>
          <w:szCs w:val="21"/>
          <w:highlight w:val="none"/>
        </w:rPr>
        <w:instrText xml:space="preserve"> HYPERLINK \l _Toc14081 </w:instrText>
      </w:r>
      <w:r>
        <w:rPr>
          <w:rFonts w:hint="eastAsia" w:ascii="宋体" w:hAnsi="宋体" w:eastAsia="宋体" w:cs="宋体"/>
          <w:szCs w:val="21"/>
          <w:highlight w:val="none"/>
        </w:rPr>
        <w:fldChar w:fldCharType="separate"/>
      </w:r>
      <w:r>
        <w:rPr>
          <w:rFonts w:hint="eastAsia" w:ascii="宋体" w:hAnsi="宋体" w:eastAsia="宋体" w:cs="宋体"/>
          <w:iCs/>
          <w:szCs w:val="32"/>
          <w:highlight w:val="none"/>
        </w:rPr>
        <w:t xml:space="preserve">九、项目组人员</w:t>
      </w:r>
      <w:r>
        <w:tab/>
      </w:r>
      <w:r>
        <w:fldChar w:fldCharType="begin"/>
      </w:r>
      <w:r>
        <w:instrText xml:space="preserve"> PAGEREF _Toc14081 \h </w:instrText>
      </w:r>
      <w:r>
        <w:fldChar w:fldCharType="separate"/>
      </w:r>
      <w:r>
        <w:t xml:space="preserve">50</w:t>
      </w:r>
      <w:r>
        <w:fldChar w:fldCharType="end"/>
      </w:r>
      <w:r>
        <w:rPr>
          <w:rFonts w:hint="eastAsia" w:ascii="宋体" w:hAnsi="宋体" w:eastAsia="宋体" w:cs="宋体"/>
          <w:color w:val="auto"/>
          <w:szCs w:val="21"/>
          <w:highlight w:val="none"/>
        </w:rPr>
        <w:fldChar w:fldCharType="end"/>
      </w:r>
      <w:r/>
    </w:p>
    <w:p>
      <w:pPr>
        <w:pStyle w:val="756"/>
        <w:tabs>
          <w:tab w:val="right" w:pos="8953" w:leader="dot"/>
        </w:tabs>
      </w:pPr>
      <w:r>
        <w:rPr>
          <w:rFonts w:hint="eastAsia" w:ascii="宋体" w:hAnsi="宋体" w:eastAsia="宋体" w:cs="宋体"/>
          <w:color w:val="auto"/>
          <w:szCs w:val="21"/>
          <w:highlight w:val="none"/>
        </w:rPr>
        <w:fldChar w:fldCharType="begin"/>
      </w:r>
      <w:r>
        <w:rPr>
          <w:rFonts w:hint="eastAsia" w:ascii="宋体" w:hAnsi="宋体" w:eastAsia="宋体" w:cs="宋体"/>
          <w:szCs w:val="21"/>
          <w:highlight w:val="none"/>
        </w:rPr>
        <w:instrText xml:space="preserve"> HYPERLINK \l _Toc31076 </w:instrText>
      </w:r>
      <w:r>
        <w:rPr>
          <w:rFonts w:hint="eastAsia" w:ascii="宋体" w:hAnsi="宋体" w:eastAsia="宋体" w:cs="宋体"/>
          <w:szCs w:val="21"/>
          <w:highlight w:val="none"/>
        </w:rPr>
        <w:fldChar w:fldCharType="separate"/>
      </w:r>
      <w:r>
        <w:rPr>
          <w:rFonts w:hint="eastAsia" w:ascii="宋体" w:hAnsi="宋体" w:eastAsia="宋体" w:cs="宋体"/>
          <w:iCs/>
          <w:szCs w:val="32"/>
          <w:highlight w:val="none"/>
        </w:rPr>
        <w:t xml:space="preserve">十、企业业绩</w:t>
      </w:r>
      <w:r>
        <w:tab/>
      </w:r>
      <w:r>
        <w:fldChar w:fldCharType="begin"/>
      </w:r>
      <w:r>
        <w:instrText xml:space="preserve"> PAGEREF _Toc31076 \h </w:instrText>
      </w:r>
      <w:r>
        <w:fldChar w:fldCharType="separate"/>
      </w:r>
      <w:r>
        <w:t xml:space="preserve">51</w:t>
      </w:r>
      <w:r>
        <w:fldChar w:fldCharType="end"/>
      </w:r>
      <w:r>
        <w:rPr>
          <w:rFonts w:hint="eastAsia" w:ascii="宋体" w:hAnsi="宋体" w:eastAsia="宋体" w:cs="宋体"/>
          <w:color w:val="auto"/>
          <w:szCs w:val="21"/>
          <w:highlight w:val="none"/>
        </w:rPr>
        <w:fldChar w:fldCharType="end"/>
      </w:r>
      <w:r/>
    </w:p>
    <w:p>
      <w:pPr>
        <w:pStyle w:val="756"/>
        <w:tabs>
          <w:tab w:val="right" w:pos="8953" w:leader="dot"/>
        </w:tabs>
      </w:pPr>
      <w:r>
        <w:rPr>
          <w:rFonts w:hint="eastAsia" w:ascii="宋体" w:hAnsi="宋体" w:eastAsia="宋体" w:cs="宋体"/>
          <w:color w:val="auto"/>
          <w:szCs w:val="21"/>
          <w:highlight w:val="none"/>
        </w:rPr>
        <w:fldChar w:fldCharType="begin"/>
      </w:r>
      <w:r>
        <w:rPr>
          <w:rFonts w:hint="eastAsia" w:ascii="宋体" w:hAnsi="宋体" w:eastAsia="宋体" w:cs="宋体"/>
          <w:szCs w:val="21"/>
          <w:highlight w:val="none"/>
        </w:rPr>
        <w:instrText xml:space="preserve"> HYPERLINK \l _Toc18471 </w:instrText>
      </w:r>
      <w:r>
        <w:rPr>
          <w:rFonts w:hint="eastAsia" w:ascii="宋体" w:hAnsi="宋体" w:eastAsia="宋体" w:cs="宋体"/>
          <w:szCs w:val="21"/>
          <w:highlight w:val="none"/>
        </w:rPr>
        <w:fldChar w:fldCharType="separate"/>
      </w:r>
      <w:r>
        <w:rPr>
          <w:rFonts w:hint="eastAsia" w:ascii="宋体" w:hAnsi="宋体" w:eastAsia="宋体" w:cs="宋体"/>
          <w:iCs/>
          <w:szCs w:val="32"/>
          <w:highlight w:val="none"/>
        </w:rPr>
        <w:t xml:space="preserve">十一、磋商所需其他材料</w:t>
      </w:r>
      <w:r>
        <w:tab/>
      </w:r>
      <w:r>
        <w:fldChar w:fldCharType="begin"/>
      </w:r>
      <w:r>
        <w:instrText xml:space="preserve"> PAGEREF _Toc18471 \h </w:instrText>
      </w:r>
      <w:r>
        <w:fldChar w:fldCharType="separate"/>
      </w:r>
      <w:r>
        <w:t xml:space="preserve">52</w:t>
      </w:r>
      <w:r>
        <w:fldChar w:fldCharType="end"/>
      </w:r>
      <w:r>
        <w:rPr>
          <w:rFonts w:hint="eastAsia" w:ascii="宋体" w:hAnsi="宋体" w:eastAsia="宋体" w:cs="宋体"/>
          <w:color w:val="auto"/>
          <w:szCs w:val="21"/>
          <w:highlight w:val="none"/>
        </w:rPr>
        <w:fldChar w:fldCharType="end"/>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fldChar w:fldCharType="end"/>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jc w:val="center"/>
        <w:keepLines/>
        <w:keepNext/>
        <w:spacing w:before="260" w:after="260" w:line="416" w:lineRule="auto"/>
        <w:rPr>
          <w:rFonts w:hint="eastAsia" w:ascii="宋体" w:hAnsi="宋体" w:eastAsia="宋体" w:cs="宋体"/>
          <w:b/>
          <w:bCs/>
          <w:color w:val="auto"/>
          <w:sz w:val="44"/>
          <w:szCs w:val="44"/>
          <w:highlight w:val="none"/>
        </w:rPr>
        <w:sectPr>
          <w:footerReference w:type="default" r:id="rId12"/>
          <w:footerReference w:type="first" r:id="rId13"/>
          <w:footnotePr/>
          <w:endnotePr/>
          <w:type w:val="nextPage"/>
          <w:pgSz w:w="11906" w:h="16838" w:orient="portrait"/>
          <w:pgMar w:top="1418" w:right="1588" w:bottom="1418" w:left="1365" w:header="851" w:footer="964" w:gutter="0"/>
          <w:pgNumType w:start="1"/>
          <w:cols w:num="1" w:sep="0" w:space="1701" w:equalWidth="1"/>
          <w:docGrid w:linePitch="360"/>
        </w:sectPr>
        <w:outlineLvl w:val="0"/>
      </w:pPr>
      <w:r/>
      <w:bookmarkStart w:id="250" w:name="_GoBack"/>
      <w:r/>
      <w:bookmarkEnd w:id="250"/>
      <w:r/>
      <w:r/>
    </w:p>
    <w:p>
      <w:pPr>
        <w:jc w:val="center"/>
        <w:keepLines/>
        <w:keepNext/>
        <w:spacing w:before="260" w:after="260" w:line="416" w:lineRule="auto"/>
        <w:rPr>
          <w:rFonts w:hint="eastAsia" w:ascii="宋体" w:hAnsi="宋体" w:eastAsia="宋体" w:cs="宋体"/>
          <w:b/>
          <w:bCs/>
          <w:color w:val="auto"/>
          <w:sz w:val="44"/>
          <w:szCs w:val="44"/>
          <w:highlight w:val="none"/>
        </w:rPr>
        <w:outlineLvl w:val="0"/>
      </w:pPr>
      <w:r/>
      <w:bookmarkStart w:id="7" w:name="_Toc30306"/>
      <w:r>
        <w:rPr>
          <w:rFonts w:hint="eastAsia" w:ascii="宋体" w:hAnsi="宋体" w:eastAsia="宋体" w:cs="宋体"/>
          <w:b/>
          <w:bCs/>
          <w:color w:val="auto"/>
          <w:sz w:val="44"/>
          <w:szCs w:val="44"/>
          <w:highlight w:val="none"/>
        </w:rPr>
        <w:t xml:space="preserve">第一章</w:t>
      </w:r>
      <w:bookmarkEnd w:id="1"/>
      <w:r>
        <w:rPr>
          <w:rFonts w:hint="eastAsia" w:ascii="宋体" w:hAnsi="宋体" w:eastAsia="宋体" w:cs="宋体"/>
          <w:b/>
          <w:bCs/>
          <w:color w:val="auto"/>
          <w:sz w:val="44"/>
          <w:szCs w:val="44"/>
          <w:highlight w:val="none"/>
        </w:rPr>
        <w:t xml:space="preserve">  磋商邀请</w:t>
      </w:r>
      <w:bookmarkEnd w:id="7"/>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受</w:t>
      </w:r>
      <w:r>
        <w:rPr>
          <w:rFonts w:hint="eastAsia" w:ascii="宋体" w:hAnsi="宋体" w:eastAsia="宋体" w:cs="宋体"/>
          <w:b/>
          <w:bCs/>
          <w:color w:val="auto"/>
          <w:sz w:val="24"/>
          <w:szCs w:val="24"/>
          <w:highlight w:val="none"/>
          <w:lang w:eastAsia="zh-CN"/>
        </w:rPr>
        <w:t xml:space="preserve">宿迁市生态环境局</w:t>
      </w:r>
      <w:r>
        <w:rPr>
          <w:rFonts w:hint="eastAsia" w:ascii="宋体" w:hAnsi="宋体" w:eastAsia="宋体" w:cs="宋体"/>
          <w:color w:val="auto"/>
          <w:sz w:val="24"/>
          <w:szCs w:val="24"/>
          <w:highlight w:val="none"/>
        </w:rPr>
        <w:t xml:space="preserve">的委托，</w:t>
      </w:r>
      <w:r>
        <w:rPr>
          <w:rFonts w:hint="eastAsia" w:ascii="宋体" w:hAnsi="宋体" w:eastAsia="宋体" w:cs="宋体"/>
          <w:b/>
          <w:bCs/>
          <w:color w:val="auto"/>
          <w:sz w:val="24"/>
          <w:szCs w:val="24"/>
          <w:highlight w:val="none"/>
          <w:lang w:eastAsia="zh-CN"/>
        </w:rPr>
        <w:t xml:space="preserve">江苏科建工程项目管理有限公司</w:t>
      </w:r>
      <w:r>
        <w:rPr>
          <w:rFonts w:hint="eastAsia" w:ascii="宋体" w:hAnsi="宋体" w:eastAsia="宋体" w:cs="宋体"/>
          <w:color w:val="auto"/>
          <w:sz w:val="24"/>
          <w:szCs w:val="24"/>
          <w:highlight w:val="none"/>
        </w:rPr>
        <w:t xml:space="preserve">就</w:t>
      </w:r>
      <w:r>
        <w:rPr>
          <w:rFonts w:hint="eastAsia" w:ascii="宋体" w:hAnsi="宋体" w:eastAsia="宋体" w:cs="宋体"/>
          <w:b/>
          <w:bCs/>
          <w:color w:val="auto"/>
          <w:sz w:val="24"/>
          <w:szCs w:val="24"/>
          <w:highlight w:val="none"/>
          <w:lang w:eastAsia="zh-CN"/>
        </w:rPr>
        <w:t xml:space="preserve">宿迁市市辖区第二轮生物多样性本底调查项目</w:t>
      </w:r>
      <w:r>
        <w:rPr>
          <w:rFonts w:hint="eastAsia" w:ascii="宋体" w:hAnsi="宋体" w:eastAsia="宋体" w:cs="宋体"/>
          <w:color w:val="auto"/>
          <w:sz w:val="24"/>
          <w:szCs w:val="24"/>
          <w:highlight w:val="none"/>
        </w:rPr>
        <w:t xml:space="preserve">(</w:t>
      </w:r>
      <w:r>
        <w:rPr>
          <w:rFonts w:hint="eastAsia" w:ascii="宋体" w:hAnsi="宋体" w:cs="宋体"/>
          <w:b/>
          <w:bCs/>
          <w:color w:val="auto"/>
          <w:sz w:val="24"/>
          <w:szCs w:val="24"/>
          <w:highlight w:val="none"/>
          <w:lang w:eastAsia="zh-CN"/>
        </w:rPr>
        <w:t xml:space="preserve">JSZC-321300-JSKJ-C2026-0012</w:t>
      </w:r>
      <w:r>
        <w:rPr>
          <w:rFonts w:hint="eastAsia" w:ascii="宋体" w:hAnsi="宋体" w:eastAsia="宋体" w:cs="宋体"/>
          <w:color w:val="auto"/>
          <w:sz w:val="24"/>
          <w:szCs w:val="24"/>
          <w:highlight w:val="none"/>
        </w:rPr>
        <w:t xml:space="preserve">)项目进行竞争性磋商采购，欢迎符合条件的供应商参加磋商。</w:t>
      </w:r>
      <w:r/>
    </w:p>
    <w:p>
      <w:pPr>
        <w:ind w:firstLine="480"/>
        <w:spacing w:line="520" w:lineRule="exact"/>
        <w:rPr>
          <w:rFonts w:hint="eastAsia" w:ascii="宋体" w:hAnsi="宋体" w:eastAsia="宋体" w:cs="宋体"/>
          <w:color w:val="auto"/>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color w:val="auto"/>
          <w:sz w:val="24"/>
          <w:szCs w:val="24"/>
          <w:highlight w:val="none"/>
        </w:rPr>
        <w:t xml:space="preserve">项目概况</w:t>
      </w:r>
      <w:r/>
    </w:p>
    <w:p>
      <w:pPr>
        <w:ind w:firstLine="480"/>
        <w:spacing w:line="520" w:lineRule="exact"/>
        <w:rPr>
          <w:rFonts w:hint="eastAsia" w:ascii="宋体" w:hAnsi="宋体" w:eastAsia="宋体" w:cs="宋体"/>
          <w:color w:val="auto"/>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color w:val="auto"/>
          <w:sz w:val="24"/>
          <w:szCs w:val="24"/>
          <w:highlight w:val="none"/>
          <w:u w:val="single"/>
          <w:lang w:eastAsia="zh-CN"/>
        </w:rPr>
        <w:t xml:space="preserve">宿迁市市辖区第二轮生物多样性本底调查项目</w:t>
      </w:r>
      <w:r>
        <w:rPr>
          <w:rFonts w:hint="eastAsia" w:ascii="宋体" w:hAnsi="宋体" w:eastAsia="宋体" w:cs="宋体"/>
          <w:color w:val="auto"/>
          <w:sz w:val="24"/>
          <w:szCs w:val="24"/>
          <w:highlight w:val="none"/>
        </w:rPr>
        <w:t xml:space="preserve">竞争性磋商项目的潜在供应商可在</w:t>
      </w:r>
      <w:r>
        <w:rPr>
          <w:rFonts w:hint="eastAsia" w:ascii="宋体" w:hAnsi="宋体" w:eastAsia="宋体" w:cs="宋体"/>
          <w:color w:val="auto"/>
          <w:sz w:val="24"/>
          <w:szCs w:val="24"/>
          <w:highlight w:val="none"/>
          <w:u w:val="single"/>
        </w:rPr>
        <w:t xml:space="preserve">“宿迁市政府采购网”自行免费下载</w:t>
      </w:r>
      <w:r>
        <w:rPr>
          <w:rFonts w:hint="eastAsia" w:ascii="宋体" w:hAnsi="宋体" w:eastAsia="宋体" w:cs="宋体"/>
          <w:color w:val="auto"/>
          <w:sz w:val="24"/>
          <w:szCs w:val="24"/>
          <w:highlight w:val="none"/>
        </w:rPr>
        <w:t xml:space="preserve">磋商文件，并于</w:t>
      </w:r>
      <w:r>
        <w:rPr>
          <w:rFonts w:ascii="SimSun" w:hAnsi="SimSun" w:eastAsia="SimSun" w:cs="SimSun"/>
          <w:b/>
          <w:color w:val="000000"/>
          <w:sz w:val="24"/>
        </w:rPr>
        <w:t xml:space="preserve">2026-05-26 09：30</w:t>
      </w:r>
      <w:r>
        <w:rPr>
          <w:rFonts w:hint="eastAsia" w:ascii="宋体" w:hAnsi="宋体" w:eastAsia="宋体" w:cs="宋体"/>
          <w:color w:val="auto"/>
          <w:sz w:val="24"/>
          <w:szCs w:val="24"/>
          <w:highlight w:val="none"/>
        </w:rPr>
      </w:r>
      <w:r>
        <w:rPr>
          <w:rFonts w:hint="eastAsia" w:ascii="宋体" w:hAnsi="宋体" w:eastAsia="宋体" w:cs="宋体"/>
          <w:bCs/>
          <w:color w:val="auto"/>
          <w:sz w:val="24"/>
          <w:szCs w:val="24"/>
          <w:highlight w:val="none"/>
        </w:rPr>
        <w:t xml:space="preserve">（北京时间）前递交响应文件</w:t>
      </w:r>
      <w:r>
        <w:rPr>
          <w:rFonts w:hint="eastAsia" w:ascii="宋体" w:hAnsi="宋体" w:eastAsia="宋体" w:cs="宋体"/>
          <w:color w:val="auto"/>
          <w:sz w:val="24"/>
          <w:szCs w:val="24"/>
          <w:highlight w:val="none"/>
        </w:rPr>
        <w:t xml:space="preserve">。</w:t>
      </w:r>
      <w:r/>
    </w:p>
    <w:p>
      <w:pPr>
        <w:ind w:firstLine="373"/>
        <w:keepLines/>
        <w:keepNext/>
        <w:spacing w:line="520" w:lineRule="exact"/>
        <w:rPr>
          <w:rFonts w:hint="eastAsia" w:ascii="宋体" w:hAnsi="宋体" w:eastAsia="宋体" w:cs="宋体"/>
          <w:b/>
          <w:bCs/>
          <w:color w:val="auto"/>
          <w:sz w:val="24"/>
          <w:szCs w:val="24"/>
          <w:highlight w:val="none"/>
        </w:rPr>
      </w:pPr>
      <w:r/>
      <w:bookmarkStart w:id="8" w:name="_Toc28359002"/>
      <w:r/>
      <w:bookmarkStart w:id="9" w:name="_Toc38985263"/>
      <w:r/>
      <w:bookmarkStart w:id="10" w:name="_Toc35393621"/>
      <w:r/>
      <w:bookmarkStart w:id="11" w:name="_Toc28359079"/>
      <w:r/>
      <w:bookmarkStart w:id="12" w:name="_Toc35393790"/>
      <w:r/>
      <w:bookmarkStart w:id="13" w:name="_Hlk24379207"/>
      <w:r>
        <w:rPr>
          <w:rFonts w:hint="eastAsia" w:ascii="宋体" w:hAnsi="宋体" w:eastAsia="宋体" w:cs="宋体"/>
          <w:b/>
          <w:bCs/>
          <w:color w:val="auto"/>
          <w:sz w:val="24"/>
          <w:szCs w:val="24"/>
          <w:highlight w:val="none"/>
        </w:rPr>
        <w:t xml:space="preserve">一、项目基本情况</w:t>
      </w:r>
      <w:bookmarkEnd w:id="8"/>
      <w:r/>
      <w:bookmarkEnd w:id="9"/>
      <w:r/>
      <w:bookmarkEnd w:id="10"/>
      <w:r/>
      <w:bookmarkEnd w:id="11"/>
      <w:r/>
      <w:bookmarkEnd w:id="12"/>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1.项目编号：</w:t>
      </w:r>
      <w:r>
        <w:rPr>
          <w:rFonts w:hint="eastAsia" w:ascii="宋体" w:hAnsi="宋体" w:cs="宋体"/>
          <w:color w:val="auto"/>
          <w:sz w:val="24"/>
          <w:szCs w:val="24"/>
          <w:highlight w:val="none"/>
          <w:lang w:eastAsia="zh-CN"/>
        </w:rPr>
        <w:t xml:space="preserve">JSZC-321300-JSKJ-C2026-0012</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2.项目名称：</w:t>
      </w:r>
      <w:bookmarkEnd w:id="13"/>
      <w:r>
        <w:rPr>
          <w:rFonts w:hint="eastAsia" w:ascii="宋体" w:hAnsi="宋体" w:eastAsia="宋体" w:cs="宋体"/>
          <w:color w:val="auto"/>
          <w:sz w:val="24"/>
          <w:szCs w:val="24"/>
          <w:highlight w:val="none"/>
          <w:lang w:eastAsia="zh-CN"/>
        </w:rPr>
        <w:t xml:space="preserve">宿迁市市辖区第二轮生物多样性本底调查项目</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3.预算金额：</w:t>
      </w:r>
      <w:r>
        <w:rPr>
          <w:rFonts w:hint="eastAsia" w:ascii="宋体" w:hAnsi="宋体" w:eastAsia="宋体" w:cs="宋体"/>
          <w:color w:val="auto"/>
          <w:sz w:val="24"/>
          <w:szCs w:val="24"/>
          <w:highlight w:val="none"/>
          <w:lang w:val="en-US" w:eastAsia="zh-CN"/>
        </w:rPr>
        <w:t xml:space="preserve">260</w:t>
      </w:r>
      <w:r>
        <w:rPr>
          <w:rFonts w:hint="eastAsia" w:ascii="宋体" w:hAnsi="宋体" w:eastAsia="宋体" w:cs="宋体"/>
          <w:color w:val="auto"/>
          <w:sz w:val="24"/>
          <w:szCs w:val="24"/>
          <w:highlight w:val="none"/>
        </w:rPr>
        <w:t xml:space="preserve">万元</w:t>
      </w:r>
      <w:r/>
    </w:p>
    <w:p>
      <w:pPr>
        <w:ind w:firstLine="482"/>
        <w:spacing w:line="52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4.本项目</w:t>
      </w:r>
      <w:r>
        <w:rPr>
          <w:rFonts w:hint="eastAsia" w:ascii="宋体" w:hAnsi="宋体" w:eastAsia="宋体" w:cs="宋体"/>
          <w:b/>
          <w:bCs/>
          <w:color w:val="auto"/>
          <w:sz w:val="24"/>
          <w:szCs w:val="24"/>
          <w:highlight w:val="none"/>
          <w:u w:val="single"/>
        </w:rPr>
        <w:t xml:space="preserve">设定</w:t>
      </w:r>
      <w:r>
        <w:rPr>
          <w:rFonts w:hint="eastAsia" w:ascii="宋体" w:hAnsi="宋体" w:eastAsia="宋体" w:cs="宋体"/>
          <w:b/>
          <w:bCs/>
          <w:color w:val="auto"/>
          <w:sz w:val="24"/>
          <w:szCs w:val="24"/>
          <w:highlight w:val="none"/>
        </w:rPr>
        <w:t xml:space="preserve">最高限价，最高限价为</w:t>
      </w:r>
      <w:r>
        <w:rPr>
          <w:rFonts w:hint="eastAsia" w:ascii="宋体" w:hAnsi="宋体" w:eastAsia="宋体" w:cs="宋体"/>
          <w:b/>
          <w:bCs/>
          <w:color w:val="auto"/>
          <w:sz w:val="24"/>
          <w:szCs w:val="24"/>
          <w:highlight w:val="none"/>
          <w:lang w:val="en-US" w:eastAsia="zh-CN"/>
        </w:rPr>
        <w:t xml:space="preserve">258.</w:t>
      </w:r>
      <w:r>
        <w:rPr>
          <w:rFonts w:hint="eastAsia" w:ascii="宋体" w:hAnsi="宋体" w:cs="宋体"/>
          <w:b/>
          <w:bCs/>
          <w:color w:val="auto"/>
          <w:sz w:val="24"/>
          <w:szCs w:val="24"/>
          <w:highlight w:val="none"/>
          <w:lang w:val="en-US" w:eastAsia="zh-CN"/>
        </w:rPr>
        <w:t xml:space="preserve">20</w:t>
      </w:r>
      <w:r>
        <w:rPr>
          <w:rFonts w:hint="eastAsia" w:ascii="宋体" w:hAnsi="宋体" w:eastAsia="宋体" w:cs="宋体"/>
          <w:b/>
          <w:bCs/>
          <w:color w:val="auto"/>
          <w:sz w:val="24"/>
          <w:szCs w:val="24"/>
          <w:highlight w:val="none"/>
        </w:rPr>
        <w:t xml:space="preserve">万元。</w:t>
      </w:r>
      <w:r/>
    </w:p>
    <w:p>
      <w:pPr>
        <w:ind w:firstLine="480"/>
        <w:spacing w:line="52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5.采购需求（简介）：依据江苏省生态环境厅苏环办〔2025〕177号省生态环境厅关于印发《江苏省新一轮生物多样性调查工作方案》的通知要求，计划于2026年-2027年针对市本级（含宿豫区、宿城区、市经开区、湖滨新区、苏宿园区和洋河新区）开展新一轮生物多样性本底调查，形成调查成果。后期对三县（沭阳、泗阳、泗洪）开展的生物多样性调查成果进行整合，形成全市调查成果报告。具体详细内容见第四部分采购需求。</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6.合同履行期限：</w:t>
      </w:r>
      <w:r>
        <w:rPr>
          <w:rFonts w:hint="eastAsia" w:ascii="宋体" w:hAnsi="宋体" w:cs="宋体"/>
          <w:color w:val="auto"/>
          <w:sz w:val="24"/>
          <w:szCs w:val="24"/>
          <w:highlight w:val="none"/>
          <w:lang w:val="en-US" w:eastAsia="zh-CN"/>
        </w:rPr>
        <w:t xml:space="preserve">15个月</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其中：</w:t>
      </w:r>
      <w:r>
        <w:rPr>
          <w:rFonts w:hint="eastAsia" w:ascii="宋体" w:hAnsi="宋体" w:eastAsia="宋体" w:cs="宋体"/>
          <w:color w:val="auto"/>
          <w:sz w:val="24"/>
          <w:szCs w:val="24"/>
          <w:highlight w:val="none"/>
        </w:rPr>
        <w:t xml:space="preserve">供应商需在成交后1个月内编制并提交实施方案，成交后12个月内完成野外调查，成交后15个月内编制完成全部成果报告并通过验收。</w:t>
      </w:r>
      <w:r/>
    </w:p>
    <w:p>
      <w:pPr>
        <w:ind w:firstLine="480"/>
        <w:spacing w:line="52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7.本项目</w:t>
      </w:r>
      <w:r>
        <w:rPr>
          <w:rFonts w:hint="eastAsia" w:ascii="宋体" w:hAnsi="宋体" w:eastAsia="宋体" w:cs="宋体"/>
          <w:color w:val="auto"/>
          <w:sz w:val="24"/>
          <w:szCs w:val="24"/>
          <w:highlight w:val="none"/>
          <w:u w:val="single"/>
        </w:rPr>
        <w:t xml:space="preserve">不接受</w:t>
      </w:r>
      <w:r>
        <w:rPr>
          <w:rFonts w:hint="eastAsia" w:ascii="宋体" w:hAnsi="宋体" w:eastAsia="宋体" w:cs="宋体"/>
          <w:color w:val="auto"/>
          <w:sz w:val="24"/>
          <w:szCs w:val="24"/>
          <w:highlight w:val="none"/>
        </w:rPr>
        <w:t xml:space="preserve">联合体参与磋商。</w:t>
      </w:r>
      <w:r/>
    </w:p>
    <w:p>
      <w:pPr>
        <w:ind w:firstLine="373"/>
        <w:spacing w:line="520" w:lineRule="exact"/>
        <w:rPr>
          <w:rFonts w:hint="eastAsia" w:ascii="宋体" w:hAnsi="宋体" w:eastAsia="宋体" w:cs="宋体"/>
          <w:b/>
          <w:bCs/>
          <w:color w:val="auto"/>
          <w:sz w:val="24"/>
          <w:szCs w:val="24"/>
          <w:highlight w:val="none"/>
        </w:rPr>
      </w:pPr>
      <w:r/>
      <w:bookmarkStart w:id="14" w:name="_Toc38985264"/>
      <w:r/>
      <w:bookmarkStart w:id="15" w:name="_Toc35393622"/>
      <w:r/>
      <w:bookmarkStart w:id="16" w:name="_Toc28359003"/>
      <w:r/>
      <w:bookmarkStart w:id="17" w:name="_Toc28359080"/>
      <w:r/>
      <w:bookmarkStart w:id="18" w:name="_Toc35393791"/>
      <w:r>
        <w:rPr>
          <w:rFonts w:hint="eastAsia" w:ascii="宋体" w:hAnsi="宋体" w:eastAsia="宋体" w:cs="宋体"/>
          <w:b/>
          <w:bCs/>
          <w:color w:val="auto"/>
          <w:sz w:val="24"/>
          <w:szCs w:val="24"/>
          <w:highlight w:val="none"/>
        </w:rPr>
        <w:t xml:space="preserve">二、申请人的资格要求</w:t>
      </w:r>
      <w:bookmarkEnd w:id="14"/>
      <w:r/>
      <w:bookmarkEnd w:id="15"/>
      <w:r/>
      <w:bookmarkEnd w:id="16"/>
      <w:r/>
      <w:bookmarkEnd w:id="17"/>
      <w:r/>
      <w:bookmarkEnd w:id="18"/>
      <w:r/>
      <w:r/>
    </w:p>
    <w:p>
      <w:pPr>
        <w:ind w:firstLine="480"/>
        <w:spacing w:line="520" w:lineRule="exact"/>
        <w:rPr>
          <w:rFonts w:hint="eastAsia" w:ascii="宋体" w:hAnsi="宋体" w:eastAsia="宋体" w:cs="宋体"/>
          <w:color w:val="auto"/>
          <w:sz w:val="24"/>
          <w:szCs w:val="24"/>
          <w:highlight w:val="none"/>
        </w:rPr>
      </w:pPr>
      <w:r/>
      <w:bookmarkStart w:id="19" w:name="_Toc28359004"/>
      <w:r/>
      <w:bookmarkStart w:id="20" w:name="_Toc28359081"/>
      <w:r/>
      <w:bookmarkStart w:id="21" w:name="_Toc38985265"/>
      <w:r/>
      <w:bookmarkStart w:id="22" w:name="_Toc35393792"/>
      <w:r/>
      <w:bookmarkStart w:id="23" w:name="_Toc35393623"/>
      <w:r>
        <w:rPr>
          <w:rFonts w:hint="eastAsia" w:ascii="宋体" w:hAnsi="宋体" w:eastAsia="宋体" w:cs="宋体"/>
          <w:color w:val="auto"/>
          <w:sz w:val="24"/>
          <w:szCs w:val="24"/>
          <w:highlight w:val="none"/>
        </w:rPr>
        <w:t xml:space="preserve">（一）通用资格要求</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1.具备《中华人民共和国政府采购法》第二十二条第一款规定的6项条件（按要求提供声明及承诺</w:t>
      </w:r>
      <w:r>
        <w:rPr>
          <w:rFonts w:hint="eastAsia" w:ascii="宋体" w:hAnsi="宋体" w:eastAsia="宋体" w:cs="宋体"/>
          <w:color w:val="auto"/>
          <w:sz w:val="24"/>
          <w:szCs w:val="24"/>
          <w:highlight w:val="none"/>
          <w:lang w:val="en-US" w:eastAsia="zh-CN"/>
        </w:rPr>
        <w:t xml:space="preserve">函</w:t>
      </w:r>
      <w:r>
        <w:rPr>
          <w:rFonts w:hint="eastAsia" w:ascii="宋体" w:hAnsi="宋体" w:eastAsia="宋体" w:cs="宋体"/>
          <w:color w:val="auto"/>
          <w:sz w:val="24"/>
          <w:szCs w:val="24"/>
          <w:highlight w:val="none"/>
        </w:rPr>
        <w:t xml:space="preserve">）；</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2.信用信息。信用信息查询渠道：“信用中国”网（www.creditchina.gov.cn）、“中国政府采购”网（www.ccgp.gov.cn）、江苏政府采购网（www.ccgp-jiangsu.gov.cn）。</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信用信息的使用规则：供应商被列入失信被执行人、</w:t>
      </w:r>
      <w:r>
        <w:rPr>
          <w:rFonts w:hint="eastAsia" w:ascii="宋体" w:hAnsi="宋体" w:eastAsia="宋体" w:cs="宋体"/>
          <w:color w:val="auto"/>
          <w:sz w:val="24"/>
          <w:szCs w:val="24"/>
          <w:highlight w:val="none"/>
          <w:lang w:eastAsia="zh-CN"/>
        </w:rPr>
        <w:t xml:space="preserve">重大税收违法案件当事人名单</w:t>
      </w:r>
      <w:r>
        <w:rPr>
          <w:rFonts w:hint="eastAsia" w:ascii="宋体" w:hAnsi="宋体" w:eastAsia="宋体" w:cs="宋体"/>
          <w:color w:val="auto"/>
          <w:sz w:val="24"/>
          <w:szCs w:val="24"/>
          <w:highlight w:val="none"/>
        </w:rPr>
        <w:t xml:space="preserve">、政府采购严重违法失信行为记录名单及其他不符合《中华人民共和国政府采购法》第二十二条规定条件的供应商，将拒绝其参与政府采购活动。（响应文件中无需提供证明材料）。</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二</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落实政府采购政策需满足的资格要求：本项目属于专门面向中小企业采购的项目,供应商应为中小微企业、监狱企业、残疾人福利性单位（须提供《中小企业或残疾人福利性单位声明函》）。非中小型企业</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含</w:t>
      </w:r>
      <w:r>
        <w:rPr>
          <w:rFonts w:hint="eastAsia" w:ascii="宋体" w:hAnsi="宋体" w:eastAsia="宋体" w:cs="宋体"/>
          <w:color w:val="auto"/>
          <w:sz w:val="24"/>
          <w:szCs w:val="24"/>
          <w:highlight w:val="none"/>
        </w:rPr>
        <w:t xml:space="preserve">监狱企业、残疾人福利性单位</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参与本项目投标，将作无效标处理。</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三</w:t>
      </w:r>
      <w:r>
        <w:rPr>
          <w:rFonts w:hint="eastAsia" w:ascii="宋体" w:hAnsi="宋体" w:eastAsia="宋体" w:cs="宋体"/>
          <w:color w:val="auto"/>
          <w:sz w:val="24"/>
          <w:szCs w:val="24"/>
          <w:highlight w:val="none"/>
        </w:rPr>
        <w:t xml:space="preserve">）本项目的特定资格要求：</w:t>
      </w:r>
      <w:r>
        <w:rPr>
          <w:rFonts w:hint="eastAsia" w:ascii="宋体" w:hAnsi="宋体" w:eastAsia="宋体" w:cs="宋体"/>
          <w:color w:val="auto"/>
          <w:sz w:val="24"/>
          <w:szCs w:val="24"/>
          <w:highlight w:val="none"/>
          <w:lang w:val="en-US" w:eastAsia="zh-CN"/>
        </w:rPr>
        <w:t xml:space="preserve">无</w:t>
      </w:r>
      <w:r>
        <w:rPr>
          <w:rFonts w:hint="eastAsia" w:ascii="宋体" w:hAnsi="宋体" w:eastAsia="宋体" w:cs="宋体"/>
          <w:color w:val="auto"/>
          <w:sz w:val="24"/>
          <w:szCs w:val="24"/>
          <w:highlight w:val="none"/>
        </w:rPr>
        <w:t xml:space="preserve">。</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单位负责人为同一人或者存在直接控股、管理关系的不同</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，不得参加同一合同项下的政府采购活动。否则，相关投标均无效。</w:t>
      </w:r>
      <w:r/>
    </w:p>
    <w:p>
      <w:pPr>
        <w:ind w:firstLine="373"/>
        <w:keepLines/>
        <w:keepNext/>
        <w:spacing w:line="52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三、获取</w:t>
      </w:r>
      <w:bookmarkEnd w:id="19"/>
      <w:r/>
      <w:bookmarkEnd w:id="20"/>
      <w:r/>
      <w:bookmarkEnd w:id="21"/>
      <w:r/>
      <w:bookmarkEnd w:id="22"/>
      <w:r/>
      <w:bookmarkEnd w:id="23"/>
      <w:r>
        <w:rPr>
          <w:rFonts w:hint="eastAsia" w:ascii="宋体" w:hAnsi="宋体" w:eastAsia="宋体" w:cs="宋体"/>
          <w:b/>
          <w:bCs/>
          <w:color w:val="auto"/>
          <w:sz w:val="24"/>
          <w:szCs w:val="24"/>
          <w:highlight w:val="none"/>
        </w:rPr>
        <w:t xml:space="preserve">磋商文件</w:t>
      </w:r>
      <w:r/>
    </w:p>
    <w:p>
      <w:pPr>
        <w:ind w:firstLine="480"/>
        <w:spacing w:line="520" w:lineRule="exact"/>
        <w:rPr>
          <w:rFonts w:hint="eastAsia" w:ascii="宋体" w:hAnsi="宋体" w:eastAsia="宋体" w:cs="宋体"/>
          <w:bCs/>
          <w:color w:val="auto"/>
          <w:sz w:val="24"/>
          <w:szCs w:val="24"/>
          <w:highlight w:val="none"/>
        </w:rPr>
      </w:pPr>
      <w:r/>
      <w:bookmarkStart w:id="24" w:name="_Toc28359005"/>
      <w:r/>
      <w:bookmarkStart w:id="25" w:name="_Toc28359082"/>
      <w:r/>
      <w:bookmarkStart w:id="26" w:name="_Toc35393624"/>
      <w:r/>
      <w:bookmarkStart w:id="27" w:name="_Toc35393793"/>
      <w:r/>
      <w:bookmarkStart w:id="28" w:name="_Toc38985266"/>
      <w:r>
        <w:rPr>
          <w:rFonts w:hint="eastAsia" w:ascii="宋体" w:hAnsi="宋体" w:eastAsia="宋体" w:cs="宋体"/>
          <w:color w:val="auto"/>
          <w:sz w:val="24"/>
          <w:szCs w:val="24"/>
          <w:highlight w:val="none"/>
        </w:rPr>
        <w:t xml:space="preserve">1.时间：</w:t>
      </w:r>
      <w:r>
        <w:rPr>
          <w:rFonts w:hint="eastAsia" w:ascii="宋体" w:hAnsi="宋体" w:eastAsia="宋体" w:cs="宋体"/>
          <w:b/>
          <w:bCs/>
          <w:color w:val="auto"/>
          <w:sz w:val="24"/>
          <w:szCs w:val="24"/>
          <w:highlight w:val="none"/>
        </w:rPr>
        <w:t xml:space="preserve">自磋商文件公告发布之日起5个工作日</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2.地点：“宿迁市政府采购网”自行免费下载</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方式：供应商应在采购文件提供的时间内，通过“苏采云”系统（网址：http://jszfcg.jsczt.cn/）或宿迁市政府采购网点击“政府采购管理交易系统（苏采云）”，使用CA锁进入系统从“项目参与”--“采购项目”菜单中，找到本项目获取采购文件（后缀名为“.kedt”）。</w:t>
      </w:r>
      <w:r/>
    </w:p>
    <w:p>
      <w:pPr>
        <w:ind w:firstLine="540"/>
        <w:spacing w:line="520" w:lineRule="exact"/>
        <w:rPr>
          <w:rFonts w:hint="eastAsia" w:ascii="宋体" w:hAnsi="宋体" w:eastAsia="宋体" w:cs="宋体"/>
          <w:color w:val="auto"/>
          <w:sz w:val="24"/>
          <w:szCs w:val="24"/>
          <w:highlight w:val="none"/>
          <w:u w:val="single"/>
        </w:rPr>
      </w:pPr>
      <w:r/>
      <w:bookmarkStart w:id="29" w:name="EB0c44ff4da61f4af989d119fe214be450"/>
      <w:r>
        <w:rPr>
          <w:rFonts w:hint="eastAsia" w:ascii="宋体" w:hAnsi="宋体" w:eastAsia="宋体" w:cs="宋体"/>
          <w:color w:val="auto"/>
          <w:sz w:val="24"/>
          <w:szCs w:val="24"/>
          <w:highlight w:val="none"/>
        </w:rPr>
        <w:t xml:space="preserve">4.本项目共分一个包。供应商未按要求获取竞争性磋商文件导致无法磋商的，后果自负（其响应文件不予接受）。</w:t>
      </w:r>
      <w:bookmarkEnd w:id="29"/>
      <w:r/>
      <w:r/>
    </w:p>
    <w:p>
      <w:pPr>
        <w:ind w:firstLine="373"/>
        <w:spacing w:line="52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四、</w:t>
      </w:r>
      <w:bookmarkEnd w:id="24"/>
      <w:r/>
      <w:bookmarkEnd w:id="25"/>
      <w:r>
        <w:rPr>
          <w:rFonts w:hint="eastAsia" w:ascii="宋体" w:hAnsi="宋体" w:eastAsia="宋体" w:cs="宋体"/>
          <w:b/>
          <w:bCs/>
          <w:color w:val="auto"/>
          <w:sz w:val="24"/>
          <w:szCs w:val="24"/>
          <w:highlight w:val="none"/>
        </w:rPr>
        <w:t xml:space="preserve">响应文件</w:t>
      </w:r>
      <w:bookmarkEnd w:id="26"/>
      <w:r/>
      <w:bookmarkEnd w:id="27"/>
      <w:r/>
      <w:bookmarkEnd w:id="28"/>
      <w:r>
        <w:rPr>
          <w:rFonts w:hint="eastAsia" w:ascii="宋体" w:hAnsi="宋体" w:eastAsia="宋体" w:cs="宋体"/>
          <w:b/>
          <w:bCs/>
          <w:color w:val="auto"/>
          <w:sz w:val="24"/>
          <w:szCs w:val="24"/>
          <w:highlight w:val="none"/>
        </w:rPr>
        <w:t xml:space="preserve">提交</w:t>
      </w:r>
      <w:r/>
    </w:p>
    <w:p>
      <w:pPr>
        <w:ind w:firstLine="480"/>
        <w:spacing w:line="52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1.响应文件提交截止时间：</w:t>
      </w:r>
      <w:r>
        <w:rPr>
          <w:rFonts w:ascii="SimSun" w:hAnsi="SimSun" w:eastAsia="SimSun" w:cs="SimSun"/>
          <w:b/>
          <w:color w:val="000000"/>
          <w:sz w:val="24"/>
        </w:rPr>
        <w:t xml:space="preserve">2026-05-26 09：30</w:t>
      </w:r>
      <w:r>
        <w:rPr>
          <w:rFonts w:hint="eastAsia" w:ascii="宋体" w:hAnsi="宋体" w:eastAsia="宋体" w:cs="宋体"/>
          <w:bCs/>
          <w:color w:val="auto"/>
          <w:sz w:val="24"/>
          <w:szCs w:val="24"/>
          <w:highlight w:val="none"/>
        </w:rPr>
      </w:r>
      <w:r>
        <w:rPr>
          <w:rFonts w:hint="eastAsia" w:ascii="宋体" w:hAnsi="宋体" w:eastAsia="宋体" w:cs="宋体"/>
          <w:bCs/>
          <w:color w:val="auto"/>
          <w:sz w:val="24"/>
          <w:szCs w:val="24"/>
          <w:highlight w:val="none"/>
        </w:rPr>
        <w:t xml:space="preserve">（北京时间）。</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2.地点：“苏采云”政府采购交易系统网上开标大厅。</w:t>
      </w:r>
      <w:r/>
    </w:p>
    <w:p>
      <w:pPr>
        <w:ind w:firstLine="480"/>
        <w:spacing w:line="520" w:lineRule="exact"/>
        <w:rPr>
          <w:rFonts w:hint="eastAsia" w:ascii="宋体" w:hAnsi="宋体" w:eastAsia="宋体" w:cs="宋体"/>
          <w:b/>
          <w:bCs/>
          <w:color w:val="auto"/>
          <w:sz w:val="24"/>
          <w:szCs w:val="24"/>
          <w:highlight w:val="none"/>
          <w:lang w:val="en-US" w:eastAsia="zh-CN"/>
        </w:rPr>
      </w:pPr>
      <w:r/>
      <w:bookmarkStart w:id="30" w:name="_Toc28359084"/>
      <w:r/>
      <w:bookmarkStart w:id="31" w:name="_Toc38985267"/>
      <w:r/>
      <w:bookmarkStart w:id="32" w:name="_Toc35393625"/>
      <w:r/>
      <w:bookmarkStart w:id="33" w:name="_Toc35393794"/>
      <w:r/>
      <w:bookmarkStart w:id="34" w:name="_Toc28359007"/>
      <w:r>
        <w:rPr>
          <w:rFonts w:hint="eastAsia" w:ascii="宋体" w:hAnsi="宋体" w:eastAsia="宋体" w:cs="宋体"/>
          <w:b/>
          <w:bCs/>
          <w:color w:val="auto"/>
          <w:sz w:val="24"/>
          <w:szCs w:val="24"/>
          <w:highlight w:val="none"/>
          <w:lang w:val="en-US" w:eastAsia="zh-CN"/>
        </w:rPr>
        <w:t xml:space="preserve">五、开启</w:t>
      </w:r>
      <w:r/>
    </w:p>
    <w:p>
      <w:pPr>
        <w:ind w:firstLine="480"/>
        <w:spacing w:line="52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1.响应文件</w:t>
      </w:r>
      <w:r>
        <w:rPr>
          <w:rFonts w:hint="eastAsia" w:ascii="宋体" w:hAnsi="宋体" w:eastAsia="宋体" w:cs="宋体"/>
          <w:bCs/>
          <w:color w:val="auto"/>
          <w:sz w:val="24"/>
          <w:szCs w:val="24"/>
          <w:highlight w:val="none"/>
          <w:lang w:val="en-US" w:eastAsia="zh-CN"/>
        </w:rPr>
        <w:t xml:space="preserve">开启</w:t>
      </w:r>
      <w:r>
        <w:rPr>
          <w:rFonts w:hint="eastAsia" w:ascii="宋体" w:hAnsi="宋体" w:eastAsia="宋体" w:cs="宋体"/>
          <w:bCs/>
          <w:color w:val="auto"/>
          <w:sz w:val="24"/>
          <w:szCs w:val="24"/>
          <w:highlight w:val="none"/>
        </w:rPr>
        <w:t xml:space="preserve">时间：</w:t>
      </w:r>
      <w:r>
        <w:rPr>
          <w:rFonts w:ascii="SimSun" w:hAnsi="SimSun" w:eastAsia="SimSun" w:cs="SimSun"/>
          <w:b/>
          <w:color w:val="000000"/>
          <w:sz w:val="24"/>
        </w:rPr>
        <w:t xml:space="preserve">2026-05-26 09：30</w:t>
      </w:r>
      <w:r>
        <w:rPr>
          <w:rFonts w:hint="eastAsia" w:ascii="宋体" w:hAnsi="宋体" w:eastAsia="宋体" w:cs="宋体"/>
          <w:bCs/>
          <w:color w:val="auto"/>
          <w:sz w:val="24"/>
          <w:szCs w:val="24"/>
          <w:highlight w:val="none"/>
        </w:rPr>
      </w:r>
      <w:r>
        <w:rPr>
          <w:rFonts w:hint="eastAsia" w:ascii="宋体" w:hAnsi="宋体" w:eastAsia="宋体" w:cs="宋体"/>
          <w:bCs/>
          <w:color w:val="auto"/>
          <w:sz w:val="24"/>
          <w:szCs w:val="24"/>
          <w:highlight w:val="none"/>
        </w:rPr>
        <w:t xml:space="preserve">（北京时间）。</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2.地点：</w:t>
      </w:r>
      <w:r>
        <w:rPr>
          <w:rFonts w:hint="eastAsia" w:ascii="宋体" w:hAnsi="宋体" w:eastAsia="宋体" w:cs="宋体"/>
          <w:color w:val="000000" w:themeColor="text1"/>
          <w:sz w:val="24"/>
          <w:szCs w:val="24"/>
          <w:highlight w:val="none"/>
        </w:rPr>
        <w:t xml:space="preserve">市区开标</w:t>
      </w:r>
      <w:r>
        <w:rPr>
          <w:rFonts w:hint="eastAsia" w:ascii="宋体" w:hAnsi="宋体" w:eastAsia="宋体" w:cs="宋体"/>
          <w:color w:val="000000" w:themeColor="text1"/>
          <w:sz w:val="24"/>
          <w:szCs w:val="24"/>
          <w:highlight w:val="none"/>
          <w:lang w:val="en-US" w:eastAsia="zh-CN"/>
        </w:rPr>
        <w:t xml:space="preserve">五厅3</w:t>
      </w:r>
      <w:r>
        <w:rPr>
          <w:rFonts w:hint="eastAsia" w:ascii="宋体" w:hAnsi="宋体" w:eastAsia="宋体" w:cs="宋体"/>
          <w:color w:val="auto"/>
          <w:sz w:val="24"/>
          <w:szCs w:val="24"/>
          <w:highlight w:val="none"/>
        </w:rPr>
        <w:t xml:space="preserve">。</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lang w:val="en-US" w:eastAsia="zh-CN"/>
        </w:rPr>
        <w:t xml:space="preserve">六</w:t>
      </w:r>
      <w:r>
        <w:rPr>
          <w:rFonts w:hint="eastAsia" w:ascii="宋体" w:hAnsi="宋体" w:eastAsia="宋体" w:cs="宋体"/>
          <w:b/>
          <w:bCs/>
          <w:color w:val="auto"/>
          <w:sz w:val="24"/>
          <w:szCs w:val="24"/>
          <w:highlight w:val="none"/>
        </w:rPr>
        <w:t xml:space="preserve">、公告期限</w:t>
      </w:r>
      <w:bookmarkEnd w:id="30"/>
      <w:r/>
      <w:bookmarkEnd w:id="31"/>
      <w:r/>
      <w:bookmarkEnd w:id="32"/>
      <w:r/>
      <w:bookmarkEnd w:id="33"/>
      <w:r/>
      <w:bookmarkEnd w:id="34"/>
      <w:r/>
      <w:bookmarkStart w:id="35" w:name="_Toc35393626"/>
      <w:r/>
      <w:bookmarkStart w:id="36" w:name="_Toc38985268"/>
      <w:r/>
      <w:bookmarkStart w:id="37" w:name="_Toc35393795"/>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自本公告发布之日起3个工作日。采购公告发布媒体：宿迁市政府采购网、</w:t>
      </w:r>
      <w:r>
        <w:rPr>
          <w:rFonts w:hint="eastAsia" w:ascii="宋体" w:hAnsi="宋体" w:eastAsia="宋体" w:cs="宋体"/>
          <w:color w:val="auto"/>
          <w:sz w:val="24"/>
          <w:szCs w:val="24"/>
          <w:highlight w:val="none"/>
          <w:lang w:val="en-US" w:eastAsia="zh-CN"/>
        </w:rPr>
        <w:t xml:space="preserve">江苏省政府采购网</w:t>
      </w:r>
      <w:r>
        <w:rPr>
          <w:rFonts w:hint="eastAsia" w:ascii="宋体" w:hAnsi="宋体" w:eastAsia="宋体" w:cs="宋体"/>
          <w:color w:val="auto"/>
          <w:sz w:val="24"/>
          <w:szCs w:val="24"/>
          <w:highlight w:val="none"/>
        </w:rPr>
        <w:t xml:space="preserve">、江苏省财政部门指定的媒体。</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lang w:val="en-US" w:eastAsia="zh-CN"/>
        </w:rPr>
        <w:t xml:space="preserve">七</w:t>
      </w:r>
      <w:r>
        <w:rPr>
          <w:rFonts w:hint="eastAsia" w:ascii="宋体" w:hAnsi="宋体" w:eastAsia="宋体" w:cs="宋体"/>
          <w:b/>
          <w:bCs/>
          <w:color w:val="auto"/>
          <w:sz w:val="24"/>
          <w:szCs w:val="24"/>
          <w:highlight w:val="none"/>
        </w:rPr>
        <w:t xml:space="preserve">、其他补充事宜</w:t>
      </w:r>
      <w:bookmarkEnd w:id="35"/>
      <w:r/>
      <w:bookmarkEnd w:id="36"/>
      <w:r/>
      <w:bookmarkEnd w:id="37"/>
      <w:r/>
      <w:r/>
    </w:p>
    <w:p>
      <w:pPr>
        <w:ind w:firstLine="480"/>
        <w:spacing w:line="520" w:lineRule="exact"/>
        <w:rPr>
          <w:rFonts w:hint="eastAsia" w:ascii="宋体" w:hAnsi="宋体" w:eastAsia="宋体" w:cs="宋体"/>
          <w:color w:val="auto"/>
          <w:sz w:val="24"/>
          <w:szCs w:val="24"/>
          <w:highlight w:val="none"/>
        </w:rPr>
      </w:pPr>
      <w:r/>
      <w:bookmarkStart w:id="38" w:name="EB64e1f522fd8c43fcb4d3ba471386b3e7"/>
      <w:r>
        <w:rPr>
          <w:rFonts w:hint="eastAsia" w:ascii="宋体" w:hAnsi="宋体" w:eastAsia="宋体" w:cs="宋体"/>
          <w:color w:val="auto"/>
          <w:sz w:val="24"/>
          <w:szCs w:val="24"/>
          <w:highlight w:val="none"/>
        </w:rPr>
        <w:t xml:space="preserve">1.财政部门监督电话：0527-</w:t>
      </w:r>
      <w:r>
        <w:rPr>
          <w:rFonts w:hint="eastAsia" w:ascii="宋体" w:hAnsi="宋体" w:eastAsia="宋体" w:cs="宋体"/>
          <w:color w:val="auto"/>
          <w:sz w:val="24"/>
          <w:szCs w:val="24"/>
          <w:highlight w:val="none"/>
          <w:lang w:val="en-US" w:eastAsia="zh-CN"/>
        </w:rPr>
        <w:t xml:space="preserve">84363063</w:t>
      </w:r>
      <w:r>
        <w:rPr>
          <w:rFonts w:hint="eastAsia" w:ascii="宋体" w:hAnsi="宋体" w:eastAsia="宋体" w:cs="宋体"/>
          <w:color w:val="auto"/>
          <w:sz w:val="24"/>
          <w:szCs w:val="24"/>
          <w:highlight w:val="none"/>
        </w:rPr>
        <w:t xml:space="preserve">。</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2.“CA”数字证书办理：“苏采云”系统目前仅支持“苏采云”系统下的政务CA。省内各地区办理的“苏采云”系统下的政务CA全省通用。宿迁地区CA数字证书办理联系方式：18762803891。</w:t>
      </w:r>
      <w:r/>
    </w:p>
    <w:p>
      <w:pPr>
        <w:pStyle w:val="1077"/>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rPr>
        <w:t xml:space="preserve">3.宿迁地区“苏采云”技术支持客服电话：0527-84225125、0519-86722806。</w:t>
      </w:r>
      <w:r/>
    </w:p>
    <w:p>
      <w:pPr>
        <w:pStyle w:val="1077"/>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rPr>
        <w:t xml:space="preserve">4.如果供应商通过苏采云系统参与政府采购项目，相关操作手册详见链接：</w:t>
      </w:r>
      <w:r>
        <w:rPr>
          <w:rFonts w:hint="eastAsia" w:ascii="宋体" w:hAnsi="宋体" w:eastAsia="宋体" w:cs="宋体"/>
          <w:color w:val="auto"/>
          <w:spacing w:val="-6"/>
          <w:sz w:val="24"/>
          <w:szCs w:val="24"/>
          <w:highlight w:val="none"/>
          <w:lang w:val="en-US"/>
        </w:rPr>
        <w:t xml:space="preserve">http://www.ccgp-jiangsu.gov.cn/jiangsu/zlxz/ee/ee3a4bc5a3454aa2b0d9312230633ce9.html。</w:t>
      </w:r>
      <w:bookmarkEnd w:id="38"/>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5.现场勘察及答疑：本项目不组织集中勘察及答疑，供应商如对采购需求有疑问，请咨询采购单位联系人。</w:t>
      </w:r>
      <w:r/>
    </w:p>
    <w:p>
      <w:pPr>
        <w:ind w:firstLine="373"/>
        <w:keepLines/>
        <w:keepNext/>
        <w:spacing w:line="520" w:lineRule="exact"/>
        <w:rPr>
          <w:rFonts w:hint="eastAsia" w:ascii="宋体" w:hAnsi="宋体" w:eastAsia="宋体" w:cs="宋体"/>
          <w:b/>
          <w:bCs/>
          <w:color w:val="auto"/>
          <w:sz w:val="24"/>
          <w:szCs w:val="24"/>
          <w:highlight w:val="none"/>
        </w:rPr>
      </w:pPr>
      <w:r/>
      <w:bookmarkStart w:id="39" w:name="_Toc35393796"/>
      <w:r/>
      <w:bookmarkStart w:id="40" w:name="_Toc38985269"/>
      <w:r/>
      <w:bookmarkStart w:id="41" w:name="_Toc35393627"/>
      <w:r/>
      <w:bookmarkStart w:id="42" w:name="_Toc28359085"/>
      <w:r/>
      <w:bookmarkStart w:id="43" w:name="_Toc28359008"/>
      <w:r>
        <w:rPr>
          <w:rFonts w:hint="eastAsia" w:ascii="宋体" w:hAnsi="宋体" w:eastAsia="宋体" w:cs="宋体"/>
          <w:b/>
          <w:bCs/>
          <w:color w:val="auto"/>
          <w:sz w:val="24"/>
          <w:szCs w:val="24"/>
          <w:highlight w:val="none"/>
          <w:lang w:val="en-US" w:eastAsia="zh-CN"/>
        </w:rPr>
        <w:t xml:space="preserve">八</w:t>
      </w:r>
      <w:r>
        <w:rPr>
          <w:rFonts w:hint="eastAsia" w:ascii="宋体" w:hAnsi="宋体" w:eastAsia="宋体" w:cs="宋体"/>
          <w:b/>
          <w:bCs/>
          <w:color w:val="auto"/>
          <w:sz w:val="24"/>
          <w:szCs w:val="24"/>
          <w:highlight w:val="none"/>
        </w:rPr>
        <w:t xml:space="preserve">、本次磋商联系方式</w:t>
      </w:r>
      <w:bookmarkEnd w:id="39"/>
      <w:r/>
      <w:bookmarkEnd w:id="40"/>
      <w:r/>
      <w:bookmarkEnd w:id="41"/>
      <w:r/>
      <w:bookmarkEnd w:id="42"/>
      <w:r/>
      <w:bookmarkEnd w:id="43"/>
      <w:r/>
      <w:r/>
    </w:p>
    <w:p>
      <w:pPr>
        <w:ind w:firstLine="480"/>
        <w:jc w:val="left"/>
        <w:spacing w:line="5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1.采购人信息</w:t>
      </w:r>
      <w:r/>
    </w:p>
    <w:p>
      <w:pPr>
        <w:ind w:firstLine="480"/>
        <w:jc w:val="left"/>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名称：</w:t>
      </w:r>
      <w:r>
        <w:rPr>
          <w:rFonts w:hint="eastAsia" w:ascii="宋体" w:hAnsi="宋体" w:eastAsia="宋体" w:cs="宋体"/>
          <w:color w:val="auto"/>
          <w:sz w:val="24"/>
          <w:szCs w:val="24"/>
          <w:highlight w:val="none"/>
          <w:lang w:eastAsia="zh-CN"/>
        </w:rPr>
        <w:t xml:space="preserve">宿迁市生态环境局</w:t>
      </w:r>
      <w:r/>
    </w:p>
    <w:p>
      <w:pPr>
        <w:ind w:firstLine="480"/>
        <w:jc w:val="left"/>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地址：</w:t>
      </w:r>
      <w:r>
        <w:rPr>
          <w:rFonts w:hint="eastAsia" w:ascii="宋体" w:hAnsi="宋体" w:eastAsia="宋体" w:cs="宋体"/>
          <w:color w:val="auto"/>
          <w:sz w:val="24"/>
          <w:szCs w:val="24"/>
          <w:highlight w:val="none"/>
          <w:lang w:eastAsia="zh-CN"/>
        </w:rPr>
        <w:t xml:space="preserve">宿迁市宿城区平安大道68号</w:t>
      </w:r>
      <w:r/>
    </w:p>
    <w:p>
      <w:pPr>
        <w:ind w:firstLine="480"/>
        <w:jc w:val="left"/>
        <w:spacing w:line="52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联系人：</w:t>
      </w:r>
      <w:r>
        <w:rPr>
          <w:rFonts w:hint="eastAsia" w:ascii="宋体" w:hAnsi="宋体" w:eastAsia="宋体" w:cs="宋体"/>
          <w:color w:val="auto"/>
          <w:sz w:val="24"/>
          <w:szCs w:val="24"/>
          <w:highlight w:val="none"/>
          <w:lang w:eastAsia="zh-CN"/>
        </w:rPr>
        <w:t xml:space="preserve">王巧</w:t>
      </w:r>
      <w:r>
        <w:rPr>
          <w:rFonts w:hint="eastAsia" w:ascii="宋体" w:hAnsi="宋体" w:eastAsia="宋体" w:cs="宋体"/>
          <w:color w:val="auto"/>
          <w:sz w:val="24"/>
          <w:szCs w:val="24"/>
          <w:highlight w:val="none"/>
          <w:lang w:val="en-US" w:eastAsia="zh-CN"/>
        </w:rPr>
        <w:t xml:space="preserve"> </w:t>
      </w:r>
      <w:r/>
    </w:p>
    <w:p>
      <w:pPr>
        <w:ind w:firstLine="480"/>
        <w:jc w:val="left"/>
        <w:spacing w:line="52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联系方式：</w:t>
      </w:r>
      <w:bookmarkStart w:id="44" w:name="_Toc28359009"/>
      <w:r/>
      <w:bookmarkStart w:id="45" w:name="_Toc28359086"/>
      <w:r>
        <w:rPr>
          <w:rFonts w:hint="eastAsia" w:ascii="宋体" w:hAnsi="宋体" w:eastAsia="宋体" w:cs="宋体"/>
          <w:color w:val="auto"/>
          <w:sz w:val="24"/>
          <w:szCs w:val="24"/>
          <w:highlight w:val="none"/>
        </w:rPr>
        <w:t xml:space="preserve">0527-</w:t>
      </w:r>
      <w:r>
        <w:rPr>
          <w:rFonts w:hint="eastAsia" w:ascii="宋体" w:hAnsi="宋体" w:eastAsia="宋体" w:cs="宋体"/>
          <w:color w:val="auto"/>
          <w:sz w:val="24"/>
          <w:szCs w:val="24"/>
          <w:highlight w:val="none"/>
          <w:lang w:val="en-US" w:eastAsia="zh-CN"/>
        </w:rPr>
        <w:t xml:space="preserve">84338633 </w:t>
      </w:r>
      <w:r/>
    </w:p>
    <w:p>
      <w:pPr>
        <w:ind w:firstLine="480"/>
        <w:jc w:val="left"/>
        <w:spacing w:line="5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bookmarkEnd w:id="44"/>
      <w:r/>
      <w:bookmarkEnd w:id="45"/>
      <w:r>
        <w:rPr>
          <w:rFonts w:hint="eastAsia" w:ascii="宋体" w:hAnsi="宋体" w:eastAsia="宋体" w:cs="宋体"/>
          <w:color w:val="auto"/>
          <w:sz w:val="24"/>
          <w:szCs w:val="24"/>
          <w:highlight w:val="none"/>
        </w:rPr>
        <w:t xml:space="preserve">采购代理机构信息</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名称：</w:t>
      </w:r>
      <w:r>
        <w:rPr>
          <w:rFonts w:hint="eastAsia" w:ascii="宋体" w:hAnsi="宋体" w:eastAsia="宋体" w:cs="宋体"/>
          <w:color w:val="auto"/>
          <w:sz w:val="24"/>
          <w:szCs w:val="24"/>
          <w:highlight w:val="none"/>
          <w:lang w:eastAsia="zh-CN"/>
        </w:rPr>
        <w:t xml:space="preserve">江苏科建工程项目管理有限公司</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地　址：</w:t>
      </w:r>
      <w:r>
        <w:rPr>
          <w:rFonts w:hint="eastAsia" w:ascii="宋体" w:hAnsi="宋体" w:eastAsia="宋体" w:cs="宋体"/>
          <w:color w:val="auto"/>
          <w:sz w:val="24"/>
          <w:szCs w:val="24"/>
          <w:highlight w:val="none"/>
          <w:lang w:eastAsia="zh-CN"/>
        </w:rPr>
        <w:t xml:space="preserve">宿迁市电子商务产业园电商大厦B栋4</w:t>
      </w:r>
      <w:r>
        <w:rPr>
          <w:rFonts w:hint="eastAsia" w:ascii="宋体" w:hAnsi="宋体" w:eastAsia="宋体" w:cs="宋体"/>
          <w:color w:val="auto"/>
          <w:sz w:val="24"/>
          <w:szCs w:val="24"/>
          <w:highlight w:val="none"/>
          <w:lang w:val="en-US" w:eastAsia="zh-CN"/>
        </w:rPr>
        <w:t xml:space="preserve">F13室</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联系人：</w:t>
      </w:r>
      <w:r>
        <w:rPr>
          <w:rFonts w:hint="eastAsia" w:ascii="宋体" w:hAnsi="宋体" w:eastAsia="宋体" w:cs="宋体"/>
          <w:color w:val="auto"/>
          <w:sz w:val="24"/>
          <w:szCs w:val="24"/>
          <w:highlight w:val="none"/>
          <w:lang w:val="en-US" w:eastAsia="zh-CN"/>
        </w:rPr>
        <w:t xml:space="preserve">赵飞飞</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联系方式：</w:t>
      </w:r>
      <w:r>
        <w:rPr>
          <w:rFonts w:hint="eastAsia" w:ascii="宋体" w:hAnsi="宋体" w:eastAsia="宋体" w:cs="宋体"/>
          <w:color w:val="auto"/>
          <w:sz w:val="24"/>
          <w:szCs w:val="24"/>
          <w:highlight w:val="none"/>
          <w:lang w:val="en-US" w:eastAsia="zh-CN"/>
        </w:rPr>
        <w:t xml:space="preserve">0527-88988618</w:t>
      </w:r>
      <w:r/>
    </w:p>
    <w:p>
      <w:pPr>
        <w:ind w:firstLine="373"/>
        <w:keepLines w:val="0"/>
        <w:keepNext w:val="0"/>
        <w:pageBreakBefore w:val="0"/>
        <w:spacing w:line="52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九</w:t>
      </w:r>
      <w:r>
        <w:rPr>
          <w:rFonts w:hint="eastAsia" w:ascii="宋体" w:hAnsi="宋体" w:eastAsia="宋体" w:cs="宋体"/>
          <w:b/>
          <w:bCs/>
          <w:color w:val="auto"/>
          <w:sz w:val="24"/>
          <w:szCs w:val="24"/>
          <w:highlight w:val="none"/>
        </w:rPr>
        <w:t xml:space="preserve">、其他</w:t>
      </w:r>
      <w:r/>
    </w:p>
    <w:p>
      <w:pPr>
        <w:ind w:firstLine="480"/>
        <w:keepLines w:val="0"/>
        <w:keepNext w:val="0"/>
        <w:pageBreakBefore w:val="0"/>
        <w:spacing w:line="520" w:lineRule="exact"/>
        <w:widowControl w:val="off"/>
        <w:tabs>
          <w:tab w:val="left" w:pos="90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1.有关本次采购的事项若存在变动或修改，敬请及时关注“宿迁市政府采购网”等平台更正公告。</w:t>
      </w:r>
      <w:r/>
    </w:p>
    <w:p>
      <w:pPr>
        <w:ind w:firstLine="480"/>
        <w:keepLines w:val="0"/>
        <w:keepNext w:val="0"/>
        <w:pageBreakBefore w:val="0"/>
        <w:spacing w:line="520" w:lineRule="exact"/>
        <w:widowControl w:val="off"/>
        <w:tabs>
          <w:tab w:val="left" w:pos="90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2.本次磋商不收取磋商保证金。</w:t>
      </w:r>
      <w:r/>
    </w:p>
    <w:p>
      <w:pPr>
        <w:ind w:right="84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keepLines/>
        <w:keepNext/>
        <w:spacing w:before="260" w:after="260" w:line="416" w:lineRule="auto"/>
        <w:rPr>
          <w:rFonts w:hint="eastAsia" w:ascii="宋体" w:hAnsi="宋体" w:eastAsia="宋体" w:cs="宋体"/>
          <w:b/>
          <w:bCs/>
          <w:color w:val="auto"/>
          <w:sz w:val="44"/>
          <w:szCs w:val="44"/>
          <w:highlight w:val="none"/>
        </w:rPr>
        <w:outlineLvl w:val="0"/>
      </w:pPr>
      <w:r/>
      <w:bookmarkStart w:id="46" w:name="_Toc120614211"/>
      <w:r>
        <w:rPr>
          <w:rFonts w:hint="eastAsia" w:ascii="宋体" w:hAnsi="宋体" w:eastAsia="宋体" w:cs="宋体"/>
          <w:b/>
          <w:bCs/>
          <w:color w:val="auto"/>
          <w:sz w:val="44"/>
          <w:szCs w:val="44"/>
          <w:highlight w:val="none"/>
        </w:rPr>
        <w:br w:type="page" w:clear="all"/>
      </w:r>
      <w:bookmarkStart w:id="47" w:name="_Toc14086"/>
      <w:r>
        <w:rPr>
          <w:rFonts w:hint="eastAsia" w:ascii="宋体" w:hAnsi="宋体" w:eastAsia="宋体" w:cs="宋体"/>
          <w:b/>
          <w:bCs/>
          <w:color w:val="auto"/>
          <w:sz w:val="44"/>
          <w:szCs w:val="44"/>
          <w:highlight w:val="none"/>
        </w:rPr>
        <w:t xml:space="preserve">第二章</w:t>
      </w:r>
      <w:bookmarkEnd w:id="2"/>
      <w:r/>
      <w:bookmarkEnd w:id="3"/>
      <w:r/>
      <w:bookmarkEnd w:id="4"/>
      <w:r/>
      <w:bookmarkEnd w:id="5"/>
      <w:r/>
      <w:bookmarkEnd w:id="6"/>
      <w:r/>
      <w:bookmarkEnd w:id="46"/>
      <w:r>
        <w:rPr>
          <w:rFonts w:hint="eastAsia" w:ascii="宋体" w:hAnsi="宋体" w:eastAsia="宋体" w:cs="宋体"/>
          <w:b/>
          <w:bCs/>
          <w:color w:val="auto"/>
          <w:sz w:val="44"/>
          <w:szCs w:val="44"/>
          <w:highlight w:val="none"/>
        </w:rPr>
        <w:t xml:space="preserve">  供应商须知</w:t>
      </w:r>
      <w:bookmarkEnd w:id="47"/>
      <w:r/>
      <w:r/>
    </w:p>
    <w:p>
      <w:pPr>
        <w:pStyle w:val="726"/>
        <w:keepLines w:val="0"/>
        <w:keepNext w:val="0"/>
        <w:rPr>
          <w:rFonts w:hint="eastAsia" w:ascii="宋体" w:hAnsi="宋体" w:eastAsia="宋体" w:cs="宋体"/>
          <w:color w:val="auto"/>
          <w:highlight w:val="none"/>
        </w:rPr>
      </w:pPr>
      <w:r/>
      <w:bookmarkStart w:id="48" w:name="_Toc15106"/>
      <w:r/>
      <w:bookmarkStart w:id="49" w:name="_Toc27387"/>
      <w:r/>
      <w:bookmarkStart w:id="50" w:name="_Toc1699"/>
      <w:r/>
      <w:bookmarkStart w:id="51" w:name="_Toc5278"/>
      <w:r/>
      <w:bookmarkStart w:id="52" w:name="_Toc16938519"/>
      <w:r/>
      <w:bookmarkStart w:id="53" w:name="_Toc20823275"/>
      <w:r/>
      <w:bookmarkStart w:id="54" w:name="_Toc513029203"/>
      <w:r/>
      <w:bookmarkStart w:id="55" w:name="_Toc120614214"/>
      <w:r>
        <w:rPr>
          <w:rFonts w:hint="eastAsia" w:ascii="宋体" w:hAnsi="宋体" w:eastAsia="宋体" w:cs="宋体"/>
          <w:color w:val="auto"/>
          <w:highlight w:val="none"/>
          <w:lang w:val="en-US" w:eastAsia="zh-CN"/>
        </w:rPr>
        <w:t xml:space="preserve">供应商</w:t>
      </w:r>
      <w:r>
        <w:rPr>
          <w:rFonts w:hint="eastAsia" w:ascii="宋体" w:hAnsi="宋体" w:eastAsia="宋体" w:cs="宋体"/>
          <w:color w:val="auto"/>
          <w:highlight w:val="none"/>
        </w:rPr>
        <w:t xml:space="preserve">须知前附表：</w:t>
      </w:r>
      <w:bookmarkEnd w:id="48"/>
      <w:r/>
      <w:bookmarkEnd w:id="49"/>
      <w:r/>
      <w:bookmarkEnd w:id="50"/>
      <w:r/>
      <w:bookmarkEnd w:id="51"/>
      <w:r/>
      <w:r/>
    </w:p>
    <w:tbl>
      <w:tblPr>
        <w:tblStyle w:val="735"/>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58"/>
        <w:gridCol w:w="1806"/>
        <w:gridCol w:w="6545"/>
      </w:tblGrid>
      <w:tr>
        <w:trPr>
          <w:trHeight w:val="462"/>
        </w:trPr>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jc w:val="center"/>
              <w:rPr>
                <w:rFonts w:hint="eastAsia" w:ascii="宋体" w:hAnsi="宋体" w:eastAsia="宋体" w:cs="宋体"/>
                <w:b/>
                <w:color w:val="auto"/>
                <w:sz w:val="24"/>
                <w:szCs w:val="24"/>
                <w:highlight w:val="none"/>
              </w:rPr>
            </w:pPr>
            <w:r/>
            <w:bookmarkStart w:id="56" w:name="_Toc29262"/>
            <w:r/>
            <w:bookmarkStart w:id="57" w:name="_Toc81575154"/>
            <w:r/>
            <w:bookmarkStart w:id="58" w:name="_Toc81575191"/>
            <w:r>
              <w:rPr>
                <w:rFonts w:hint="eastAsia" w:ascii="宋体" w:hAnsi="宋体" w:eastAsia="宋体" w:cs="宋体"/>
                <w:b/>
                <w:color w:val="auto"/>
                <w:sz w:val="24"/>
                <w:szCs w:val="24"/>
                <w:highlight w:val="none"/>
              </w:rPr>
              <w:t xml:space="preserve">序号</w:t>
            </w:r>
            <w:r/>
          </w:p>
        </w:tc>
        <w:tc>
          <w:tcPr>
            <w:tcBorders>
              <w:top w:val="single" w:color="000000" w:sz="4" w:space="0"/>
              <w:left w:val="none" w:color="000000" w:sz="4" w:space="0"/>
              <w:bottom w:val="single" w:color="000000" w:sz="4" w:space="0"/>
              <w:right w:val="single" w:color="000000" w:sz="4" w:space="0"/>
            </w:tcBorders>
            <w:tcW w:w="1806" w:type="dxa"/>
            <w:vAlign w:val="center"/>
            <w:textDirection w:val="lrTb"/>
            <w:noWrap w:val="false"/>
          </w:tcPr>
          <w:p>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内容</w:t>
            </w:r>
            <w:r/>
          </w:p>
        </w:tc>
        <w:tc>
          <w:tcPr>
            <w:tcBorders>
              <w:top w:val="single" w:color="000000" w:sz="4" w:space="0"/>
              <w:left w:val="none" w:color="000000" w:sz="4" w:space="0"/>
              <w:bottom w:val="single" w:color="000000" w:sz="4" w:space="0"/>
              <w:right w:val="single" w:color="000000" w:sz="4" w:space="0"/>
            </w:tcBorders>
            <w:tcW w:w="6545" w:type="dxa"/>
            <w:vAlign w:val="center"/>
            <w:textDirection w:val="lrTb"/>
            <w:noWrap w:val="false"/>
          </w:tcPr>
          <w:p>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说明及要求</w:t>
            </w:r>
            <w:r/>
          </w:p>
        </w:tc>
      </w:tr>
      <w:tr>
        <w:trPr/>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Borders>
              <w:top w:val="single" w:color="000000" w:sz="4" w:space="0"/>
              <w:left w:val="none" w:color="000000" w:sz="4" w:space="0"/>
              <w:bottom w:val="single" w:color="000000" w:sz="4" w:space="0"/>
              <w:right w:val="single" w:color="000000" w:sz="4" w:space="0"/>
            </w:tcBorders>
            <w:tcW w:w="1806"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项目属性</w:t>
            </w:r>
            <w:r/>
          </w:p>
        </w:tc>
        <w:tc>
          <w:tcPr>
            <w:tcBorders>
              <w:top w:val="single" w:color="000000" w:sz="4" w:space="0"/>
              <w:left w:val="none" w:color="000000" w:sz="4" w:space="0"/>
              <w:bottom w:val="single" w:color="000000" w:sz="4" w:space="0"/>
              <w:right w:val="single" w:color="000000" w:sz="4" w:space="0"/>
            </w:tcBorders>
            <w:tcW w:w="6545" w:type="dxa"/>
            <w:vAlign w:val="center"/>
            <w:textDirection w:val="lrTb"/>
            <w:noWrap w:val="false"/>
          </w:tcPr>
          <w:p>
            <w:pPr>
              <w:jc w:val="left"/>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本项目</w:t>
            </w:r>
            <w:bookmarkStart w:id="59" w:name="EB9a5853ee094f4f0ea6ec3169265f6f2c"/>
            <w:r>
              <w:rPr>
                <w:rFonts w:hint="eastAsia" w:ascii="宋体" w:hAnsi="宋体" w:eastAsia="宋体" w:cs="宋体"/>
                <w:color w:val="auto"/>
                <w:sz w:val="24"/>
                <w:szCs w:val="24"/>
                <w:highlight w:val="none"/>
              </w:rPr>
              <w:t xml:space="preserve">属性按以下第</w:t>
            </w:r>
            <w:bookmarkEnd w:id="59"/>
            <w:r>
              <w:rPr>
                <w:rFonts w:hint="eastAsia" w:ascii="宋体" w:hAnsi="宋体" w:eastAsia="宋体" w:cs="宋体"/>
                <w:color w:val="auto"/>
                <w:sz w:val="24"/>
                <w:szCs w:val="24"/>
                <w:highlight w:val="none"/>
                <w:u w:val="single"/>
              </w:rPr>
              <w:t xml:space="preserve">2</w:t>
            </w:r>
            <w:r>
              <w:rPr>
                <w:rFonts w:hint="eastAsia" w:ascii="宋体" w:hAnsi="宋体" w:eastAsia="宋体" w:cs="宋体"/>
                <w:color w:val="auto"/>
                <w:sz w:val="24"/>
                <w:szCs w:val="24"/>
                <w:highlight w:val="none"/>
              </w:rPr>
              <w:t xml:space="preserve">种确定：</w:t>
            </w:r>
            <w:r/>
          </w:p>
          <w:p>
            <w:pPr>
              <w:jc w:val="left"/>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1.货物</w:t>
            </w:r>
            <w:bookmarkStart w:id="60" w:name="EBd5c6c026f9674c39b21b31ecd0c1e7fa"/>
            <w:r>
              <w:rPr>
                <w:rFonts w:hint="eastAsia" w:ascii="宋体" w:hAnsi="宋体" w:eastAsia="宋体" w:cs="宋体"/>
                <w:color w:val="auto"/>
                <w:sz w:val="24"/>
                <w:szCs w:val="24"/>
                <w:highlight w:val="none"/>
              </w:rPr>
              <w:t xml:space="preserve">采购；2.</w:t>
            </w:r>
            <w:bookmarkEnd w:id="60"/>
            <w:r>
              <w:rPr>
                <w:rFonts w:hint="eastAsia" w:ascii="宋体" w:hAnsi="宋体" w:eastAsia="宋体" w:cs="宋体"/>
                <w:color w:val="auto"/>
                <w:sz w:val="24"/>
                <w:szCs w:val="24"/>
                <w:highlight w:val="none"/>
              </w:rPr>
              <w:t xml:space="preserve">服务</w:t>
            </w:r>
            <w:bookmarkStart w:id="61" w:name="EBf7d2a4f44ecb4166a93ea852e73be69f"/>
            <w:r>
              <w:rPr>
                <w:rFonts w:hint="eastAsia" w:ascii="宋体" w:hAnsi="宋体" w:eastAsia="宋体" w:cs="宋体"/>
                <w:color w:val="auto"/>
                <w:sz w:val="24"/>
                <w:szCs w:val="24"/>
                <w:highlight w:val="none"/>
              </w:rPr>
              <w:t xml:space="preserve">采购；3.</w:t>
            </w:r>
            <w:bookmarkEnd w:id="61"/>
            <w:r>
              <w:rPr>
                <w:rFonts w:hint="eastAsia" w:ascii="宋体" w:hAnsi="宋体" w:eastAsia="宋体" w:cs="宋体"/>
                <w:color w:val="auto"/>
                <w:sz w:val="24"/>
                <w:szCs w:val="24"/>
                <w:highlight w:val="none"/>
              </w:rPr>
              <w:t xml:space="preserve">工程采购。</w:t>
            </w:r>
            <w:r/>
          </w:p>
        </w:tc>
      </w:tr>
      <w:tr>
        <w:trPr/>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Borders>
              <w:top w:val="single" w:color="000000" w:sz="4" w:space="0"/>
              <w:left w:val="none" w:color="000000" w:sz="4" w:space="0"/>
              <w:bottom w:val="single" w:color="000000" w:sz="4" w:space="0"/>
              <w:right w:val="single" w:color="000000" w:sz="4" w:space="0"/>
            </w:tcBorders>
            <w:tcW w:w="1806"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投标有效期</w:t>
            </w:r>
            <w:r/>
          </w:p>
        </w:tc>
        <w:tc>
          <w:tcPr>
            <w:tcBorders>
              <w:top w:val="single" w:color="000000" w:sz="4" w:space="0"/>
              <w:left w:val="none" w:color="000000" w:sz="4" w:space="0"/>
              <w:bottom w:val="single" w:color="000000" w:sz="4" w:space="0"/>
              <w:right w:val="single" w:color="000000" w:sz="4" w:space="0"/>
            </w:tcBorders>
            <w:tcW w:w="6545" w:type="dxa"/>
            <w:vAlign w:val="center"/>
            <w:textDirection w:val="lrTb"/>
            <w:noWrap w:val="false"/>
          </w:tcPr>
          <w:p>
            <w:pPr>
              <w:jc w:val="left"/>
              <w:spacing w:line="400" w:lineRule="exact"/>
              <w:rPr>
                <w:rFonts w:hint="eastAsia" w:ascii="宋体" w:hAnsi="宋体" w:eastAsia="宋体" w:cs="宋体"/>
                <w:color w:val="auto"/>
                <w:sz w:val="24"/>
                <w:szCs w:val="24"/>
                <w:highlight w:val="none"/>
              </w:rPr>
            </w:pPr>
            <w:r/>
            <w:bookmarkStart w:id="62" w:name="EBd40b5fb42f2944a3b45e579ce3941f02"/>
            <w:r/>
            <w:bookmarkEnd w:id="62"/>
            <w:r>
              <w:rPr>
                <w:rFonts w:hint="eastAsia" w:ascii="宋体" w:hAnsi="宋体" w:eastAsia="宋体" w:cs="宋体"/>
                <w:color w:val="auto"/>
                <w:sz w:val="24"/>
                <w:szCs w:val="24"/>
                <w:highlight w:val="none"/>
              </w:rPr>
              <w:t xml:space="preserve">60日（从提交响应文件截止之日起算）</w:t>
            </w:r>
            <w:r/>
          </w:p>
        </w:tc>
      </w:tr>
      <w:tr>
        <w:trPr/>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tcBorders>
              <w:top w:val="single" w:color="000000" w:sz="4" w:space="0"/>
              <w:left w:val="none" w:color="000000" w:sz="4" w:space="0"/>
              <w:bottom w:val="single" w:color="000000" w:sz="4" w:space="0"/>
              <w:right w:val="single" w:color="000000" w:sz="4" w:space="0"/>
            </w:tcBorders>
            <w:tcW w:w="1806"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响应文件份数</w:t>
            </w:r>
            <w:r/>
          </w:p>
        </w:tc>
        <w:tc>
          <w:tcPr>
            <w:tcBorders>
              <w:top w:val="single" w:color="000000" w:sz="4" w:space="0"/>
              <w:left w:val="none" w:color="000000" w:sz="4" w:space="0"/>
              <w:bottom w:val="single" w:color="000000" w:sz="4" w:space="0"/>
              <w:right w:val="single" w:color="000000" w:sz="4" w:space="0"/>
            </w:tcBorders>
            <w:tcW w:w="6545" w:type="dxa"/>
            <w:vAlign w:val="center"/>
            <w:textDirection w:val="lrTb"/>
            <w:noWrap w:val="false"/>
          </w:tcPr>
          <w:p>
            <w:pPr>
              <w:jc w:val="left"/>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提交加密电子响应文件</w:t>
            </w:r>
            <w:r>
              <w:rPr>
                <w:rFonts w:hint="eastAsia" w:ascii="宋体" w:hAnsi="宋体" w:eastAsia="宋体" w:cs="宋体"/>
                <w:color w:val="auto"/>
                <w:sz w:val="24"/>
                <w:szCs w:val="24"/>
                <w:highlight w:val="none"/>
                <w:u w:val="single"/>
              </w:rPr>
              <w:t xml:space="preserve">1</w:t>
            </w:r>
            <w:r>
              <w:rPr>
                <w:rFonts w:hint="eastAsia" w:ascii="宋体" w:hAnsi="宋体" w:eastAsia="宋体" w:cs="宋体"/>
                <w:color w:val="auto"/>
                <w:sz w:val="24"/>
                <w:szCs w:val="24"/>
                <w:highlight w:val="none"/>
              </w:rPr>
              <w:t xml:space="preserve">份。</w:t>
            </w:r>
            <w:r/>
          </w:p>
        </w:tc>
      </w:tr>
      <w:tr>
        <w:trPr/>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p>
        </w:tc>
        <w:tc>
          <w:tcPr>
            <w:tcBorders>
              <w:top w:val="single" w:color="000000" w:sz="4" w:space="0"/>
              <w:left w:val="none" w:color="000000" w:sz="4" w:space="0"/>
              <w:bottom w:val="single" w:color="000000" w:sz="4" w:space="0"/>
              <w:right w:val="single" w:color="000000" w:sz="4" w:space="0"/>
            </w:tcBorders>
            <w:tcW w:w="1806"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开标</w:t>
            </w:r>
            <w:r/>
          </w:p>
        </w:tc>
        <w:tc>
          <w:tcPr>
            <w:tcBorders>
              <w:top w:val="single" w:color="000000" w:sz="4" w:space="0"/>
              <w:left w:val="none" w:color="000000" w:sz="4" w:space="0"/>
              <w:bottom w:val="single" w:color="000000" w:sz="4" w:space="0"/>
              <w:right w:val="single" w:color="000000" w:sz="4" w:space="0"/>
            </w:tcBorders>
            <w:tcW w:w="6545" w:type="dxa"/>
            <w:vAlign w:val="center"/>
            <w:textDirection w:val="lrTb"/>
            <w:noWrap w:val="false"/>
          </w:tcPr>
          <w:p>
            <w:pPr>
              <w:jc w:val="left"/>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“苏采云”政府采购交易系统网上开标大厅进行不见面开标。</w:t>
            </w:r>
            <w:r/>
          </w:p>
        </w:tc>
      </w:tr>
      <w:tr>
        <w:trPr>
          <w:trHeight w:val="90"/>
        </w:trPr>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p>
        </w:tc>
        <w:tc>
          <w:tcPr>
            <w:tcBorders>
              <w:top w:val="single" w:color="000000" w:sz="4" w:space="0"/>
              <w:left w:val="none" w:color="000000" w:sz="4" w:space="0"/>
              <w:bottom w:val="single" w:color="000000" w:sz="4" w:space="0"/>
              <w:right w:val="single" w:color="000000" w:sz="4" w:space="0"/>
            </w:tcBorders>
            <w:tcW w:w="1806"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进口产品</w:t>
            </w:r>
            <w:r/>
          </w:p>
        </w:tc>
        <w:tc>
          <w:tcPr>
            <w:tcBorders>
              <w:top w:val="single" w:color="000000" w:sz="4" w:space="0"/>
              <w:left w:val="none" w:color="000000" w:sz="4" w:space="0"/>
              <w:bottom w:val="single" w:color="000000" w:sz="4" w:space="0"/>
              <w:right w:val="single" w:color="000000" w:sz="4" w:space="0"/>
            </w:tcBorders>
            <w:tcW w:w="6545" w:type="dxa"/>
            <w:vAlign w:val="center"/>
            <w:textDirection w:val="lrTb"/>
            <w:noWrap w:val="false"/>
          </w:tcPr>
          <w:p>
            <w:pPr>
              <w:jc w:val="left"/>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按以下第</w:t>
            </w:r>
            <w:r>
              <w:rPr>
                <w:rFonts w:hint="eastAsia" w:ascii="宋体" w:hAnsi="宋体" w:eastAsia="宋体" w:cs="宋体"/>
                <w:color w:val="auto"/>
                <w:sz w:val="24"/>
                <w:szCs w:val="24"/>
                <w:highlight w:val="none"/>
                <w:u w:val="single"/>
              </w:rPr>
              <w:t xml:space="preserve">2</w:t>
            </w:r>
            <w:r>
              <w:rPr>
                <w:rFonts w:hint="eastAsia" w:ascii="宋体" w:hAnsi="宋体" w:eastAsia="宋体" w:cs="宋体"/>
                <w:color w:val="auto"/>
                <w:sz w:val="24"/>
                <w:szCs w:val="24"/>
                <w:highlight w:val="none"/>
              </w:rPr>
              <w:t xml:space="preserve">种方式确定：</w:t>
            </w:r>
            <w:r/>
          </w:p>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1.接受进口产品。</w:t>
            </w:r>
            <w:r>
              <w:rPr>
                <w:rFonts w:hint="eastAsia" w:ascii="宋体" w:hAnsi="宋体" w:eastAsia="宋体" w:cs="宋体"/>
                <w:color w:val="auto"/>
                <w:sz w:val="24"/>
                <w:highlight w:val="none"/>
              </w:rPr>
              <w:t xml:space="preserve">应当符合《政府采购进口产品管理办法》（财库〔2007〕119号）、《关于政府采购进口产品管理有关问题的通知》（财办库〔2008〕248号）等相关规定</w:t>
            </w:r>
            <w:r>
              <w:rPr>
                <w:rFonts w:hint="eastAsia" w:ascii="宋体" w:hAnsi="宋体" w:eastAsia="宋体" w:cs="宋体"/>
                <w:color w:val="auto"/>
                <w:sz w:val="24"/>
                <w:szCs w:val="24"/>
                <w:highlight w:val="none"/>
              </w:rPr>
              <w:t xml:space="preserve">；</w:t>
            </w:r>
            <w:r/>
          </w:p>
          <w:p>
            <w:pPr>
              <w:jc w:val="left"/>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2.不接受进口产品。</w:t>
            </w:r>
            <w:r/>
          </w:p>
        </w:tc>
      </w:tr>
      <w:tr>
        <w:trPr/>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w:t>
            </w:r>
            <w:r/>
          </w:p>
        </w:tc>
        <w:tc>
          <w:tcPr>
            <w:tcBorders>
              <w:top w:val="single" w:color="000000" w:sz="4" w:space="0"/>
              <w:left w:val="none" w:color="000000" w:sz="4" w:space="0"/>
              <w:bottom w:val="single" w:color="000000" w:sz="4" w:space="0"/>
              <w:right w:val="single" w:color="000000" w:sz="4" w:space="0"/>
            </w:tcBorders>
            <w:tcW w:w="1806"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评标办法</w:t>
            </w:r>
            <w:r/>
          </w:p>
        </w:tc>
        <w:tc>
          <w:tcPr>
            <w:tcBorders>
              <w:top w:val="single" w:color="000000" w:sz="4" w:space="0"/>
              <w:left w:val="none" w:color="000000" w:sz="4" w:space="0"/>
              <w:bottom w:val="single" w:color="000000" w:sz="4" w:space="0"/>
              <w:right w:val="single" w:color="000000" w:sz="4" w:space="0"/>
            </w:tcBorders>
            <w:tcW w:w="6545" w:type="dxa"/>
            <w:vAlign w:val="center"/>
            <w:textDirection w:val="lrTb"/>
            <w:noWrap w:val="false"/>
          </w:tcPr>
          <w:p>
            <w:pPr>
              <w:jc w:val="left"/>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具体评标办法详见</w:t>
            </w:r>
            <w:r>
              <w:rPr>
                <w:rFonts w:hint="eastAsia" w:ascii="宋体" w:hAnsi="宋体" w:eastAsia="宋体" w:cs="宋体"/>
                <w:color w:val="auto"/>
                <w:sz w:val="24"/>
                <w:szCs w:val="24"/>
                <w:highlight w:val="none"/>
                <w:lang w:eastAsia="zh-CN"/>
              </w:rPr>
              <w:t xml:space="preserve">磋商文件</w:t>
            </w:r>
            <w:r>
              <w:rPr>
                <w:rFonts w:hint="eastAsia" w:ascii="宋体" w:hAnsi="宋体" w:eastAsia="宋体" w:cs="宋体"/>
                <w:color w:val="auto"/>
                <w:sz w:val="24"/>
                <w:szCs w:val="24"/>
                <w:highlight w:val="none"/>
              </w:rPr>
              <w:t xml:space="preserve">第</w:t>
            </w:r>
            <w:r>
              <w:rPr>
                <w:rFonts w:hint="eastAsia" w:ascii="宋体" w:hAnsi="宋体" w:eastAsia="宋体" w:cs="宋体"/>
                <w:color w:val="auto"/>
                <w:sz w:val="24"/>
                <w:szCs w:val="24"/>
                <w:highlight w:val="none"/>
                <w:lang w:val="en-US" w:eastAsia="zh-CN"/>
              </w:rPr>
              <w:t xml:space="preserve">五</w:t>
            </w:r>
            <w:r>
              <w:rPr>
                <w:rFonts w:hint="eastAsia" w:ascii="宋体" w:hAnsi="宋体" w:eastAsia="宋体" w:cs="宋体"/>
                <w:color w:val="auto"/>
                <w:sz w:val="24"/>
                <w:szCs w:val="24"/>
                <w:highlight w:val="none"/>
              </w:rPr>
              <w:t xml:space="preserve">章。</w:t>
            </w:r>
            <w:r/>
          </w:p>
          <w:p>
            <w:pPr>
              <w:jc w:val="left"/>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磋商小组依据磋商文件规定的评标办法和标准按推荐</w:t>
            </w:r>
            <w:r>
              <w:rPr>
                <w:rFonts w:hint="eastAsia" w:ascii="宋体" w:hAnsi="宋体" w:eastAsia="宋体" w:cs="宋体"/>
                <w:color w:val="auto"/>
                <w:sz w:val="24"/>
                <w:szCs w:val="24"/>
                <w:highlight w:val="none"/>
                <w:u w:val="single"/>
                <w:lang w:val="en-US" w:eastAsia="zh-CN"/>
              </w:rPr>
              <w:t xml:space="preserve">3</w:t>
            </w:r>
            <w:r>
              <w:rPr>
                <w:rFonts w:hint="eastAsia" w:ascii="宋体" w:hAnsi="宋体" w:eastAsia="宋体" w:cs="宋体"/>
                <w:color w:val="auto"/>
                <w:sz w:val="24"/>
                <w:szCs w:val="24"/>
                <w:highlight w:val="none"/>
              </w:rPr>
              <w:t xml:space="preserve">名</w:t>
            </w:r>
            <w:r>
              <w:rPr>
                <w:rFonts w:hint="eastAsia" w:ascii="宋体" w:hAnsi="宋体" w:eastAsia="宋体" w:cs="宋体"/>
                <w:color w:val="auto"/>
                <w:sz w:val="24"/>
                <w:szCs w:val="24"/>
                <w:highlight w:val="none"/>
                <w:lang w:val="en-US" w:eastAsia="zh-CN"/>
              </w:rPr>
              <w:t xml:space="preserve">成交</w:t>
            </w:r>
            <w:r>
              <w:rPr>
                <w:rFonts w:hint="eastAsia" w:ascii="宋体" w:hAnsi="宋体" w:eastAsia="宋体" w:cs="宋体"/>
                <w:color w:val="auto"/>
                <w:sz w:val="24"/>
                <w:szCs w:val="24"/>
                <w:highlight w:val="none"/>
              </w:rPr>
              <w:t xml:space="preserve">候选人。</w:t>
            </w:r>
            <w:r/>
          </w:p>
        </w:tc>
      </w:tr>
      <w:tr>
        <w:trPr/>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w:t>
            </w:r>
            <w:r/>
          </w:p>
        </w:tc>
        <w:tc>
          <w:tcPr>
            <w:tcBorders>
              <w:top w:val="single" w:color="000000" w:sz="4" w:space="0"/>
              <w:left w:val="none" w:color="000000" w:sz="4" w:space="0"/>
              <w:bottom w:val="single" w:color="000000" w:sz="4" w:space="0"/>
              <w:right w:val="single" w:color="000000" w:sz="4" w:space="0"/>
            </w:tcBorders>
            <w:tcW w:w="1806"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确定</w:t>
            </w:r>
            <w:r>
              <w:rPr>
                <w:rFonts w:hint="eastAsia" w:ascii="宋体" w:hAnsi="宋体" w:eastAsia="宋体" w:cs="宋体"/>
                <w:color w:val="auto"/>
                <w:sz w:val="24"/>
                <w:szCs w:val="24"/>
                <w:highlight w:val="none"/>
                <w:lang w:eastAsia="zh-CN"/>
              </w:rPr>
              <w:t xml:space="preserve">成交</w:t>
            </w:r>
            <w:r>
              <w:rPr>
                <w:rFonts w:hint="eastAsia" w:ascii="宋体" w:hAnsi="宋体" w:eastAsia="宋体" w:cs="宋体"/>
                <w:color w:val="auto"/>
                <w:sz w:val="24"/>
                <w:szCs w:val="24"/>
                <w:highlight w:val="none"/>
              </w:rPr>
              <w:t xml:space="preserve">人</w:t>
            </w:r>
            <w:r/>
          </w:p>
        </w:tc>
        <w:tc>
          <w:tcPr>
            <w:tcBorders>
              <w:top w:val="single" w:color="000000" w:sz="4" w:space="0"/>
              <w:left w:val="none" w:color="000000" w:sz="4" w:space="0"/>
              <w:bottom w:val="single" w:color="000000" w:sz="4" w:space="0"/>
              <w:right w:val="single" w:color="000000" w:sz="4" w:space="0"/>
            </w:tcBorders>
            <w:tcW w:w="6545" w:type="dxa"/>
            <w:vAlign w:val="center"/>
            <w:textDirection w:val="lrTb"/>
            <w:noWrap w:val="false"/>
          </w:tcPr>
          <w:p>
            <w:pPr>
              <w:jc w:val="left"/>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按以下第</w:t>
            </w:r>
            <w:r>
              <w:rPr>
                <w:rFonts w:hint="eastAsia" w:ascii="宋体" w:hAnsi="宋体" w:eastAsia="宋体" w:cs="宋体"/>
                <w:color w:val="auto"/>
                <w:sz w:val="24"/>
                <w:szCs w:val="24"/>
                <w:highlight w:val="none"/>
                <w:u w:val="single"/>
              </w:rPr>
              <w:t xml:space="preserve">2</w:t>
            </w:r>
            <w:r>
              <w:rPr>
                <w:rFonts w:hint="eastAsia" w:ascii="宋体" w:hAnsi="宋体" w:eastAsia="宋体" w:cs="宋体"/>
                <w:color w:val="auto"/>
                <w:sz w:val="24"/>
                <w:szCs w:val="24"/>
                <w:highlight w:val="none"/>
              </w:rPr>
              <w:t xml:space="preserve">种方式确定</w:t>
            </w:r>
            <w:r>
              <w:rPr>
                <w:rFonts w:hint="eastAsia" w:ascii="宋体" w:hAnsi="宋体" w:eastAsia="宋体" w:cs="宋体"/>
                <w:color w:val="auto"/>
                <w:sz w:val="24"/>
                <w:szCs w:val="24"/>
                <w:highlight w:val="none"/>
                <w:lang w:eastAsia="zh-CN"/>
              </w:rPr>
              <w:t xml:space="preserve">成交</w:t>
            </w:r>
            <w:r>
              <w:rPr>
                <w:rFonts w:hint="eastAsia" w:ascii="宋体" w:hAnsi="宋体" w:eastAsia="宋体" w:cs="宋体"/>
                <w:color w:val="auto"/>
                <w:sz w:val="24"/>
                <w:szCs w:val="24"/>
                <w:highlight w:val="none"/>
              </w:rPr>
              <w:t xml:space="preserve">人：</w:t>
            </w:r>
            <w:r/>
          </w:p>
          <w:p>
            <w:pPr>
              <w:jc w:val="left"/>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磋商小组直接确定排名第一的成交候选供应商为成交供应商；</w:t>
            </w:r>
            <w:r/>
          </w:p>
          <w:p>
            <w:pPr>
              <w:jc w:val="left"/>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采购人从评审报告提出的成交候选供应商中按顺序确定成交供应商。</w:t>
            </w:r>
            <w:r/>
          </w:p>
        </w:tc>
      </w:tr>
      <w:tr>
        <w:trPr/>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w:t>
            </w:r>
            <w:r/>
          </w:p>
        </w:tc>
        <w:tc>
          <w:tcPr>
            <w:tcBorders>
              <w:top w:val="single" w:color="000000" w:sz="4" w:space="0"/>
              <w:left w:val="none" w:color="000000" w:sz="4" w:space="0"/>
              <w:bottom w:val="single" w:color="000000" w:sz="4" w:space="0"/>
              <w:right w:val="single" w:color="000000" w:sz="4" w:space="0"/>
            </w:tcBorders>
            <w:tcW w:w="1806"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分包要求</w:t>
            </w:r>
            <w:r/>
          </w:p>
        </w:tc>
        <w:tc>
          <w:tcPr>
            <w:tcBorders>
              <w:top w:val="single" w:color="000000" w:sz="4" w:space="0"/>
              <w:left w:val="none" w:color="000000" w:sz="4" w:space="0"/>
              <w:bottom w:val="single" w:color="000000" w:sz="4" w:space="0"/>
              <w:right w:val="single" w:color="000000" w:sz="4" w:space="0"/>
            </w:tcBorders>
            <w:tcW w:w="6545" w:type="dxa"/>
            <w:vAlign w:val="center"/>
            <w:textDirection w:val="lrTb"/>
            <w:noWrap w:val="false"/>
          </w:tcPr>
          <w:p>
            <w:pPr>
              <w:jc w:val="left"/>
              <w:spacing w:line="400" w:lineRule="exact"/>
              <w:rPr>
                <w:rFonts w:hint="eastAsia" w:ascii="宋体" w:hAnsi="宋体" w:eastAsia="宋体" w:cs="宋体"/>
                <w:color w:val="auto"/>
                <w:sz w:val="24"/>
                <w:szCs w:val="24"/>
                <w:highlight w:val="none"/>
              </w:rPr>
            </w:pPr>
            <w:r/>
            <w:bookmarkStart w:id="63" w:name="EBebac1462c5d9459fbda8a75065c2455d"/>
            <w:r>
              <w:rPr>
                <w:rFonts w:hint="eastAsia" w:ascii="宋体" w:hAnsi="宋体" w:eastAsia="宋体" w:cs="宋体"/>
                <w:color w:val="auto"/>
                <w:sz w:val="24"/>
                <w:szCs w:val="24"/>
                <w:highlight w:val="none"/>
              </w:rPr>
              <w:t xml:space="preserve">本项目的非主体、非关键性工作是否允许分包</w:t>
            </w:r>
            <w:bookmarkEnd w:id="63"/>
            <w:r>
              <w:rPr>
                <w:rFonts w:hint="eastAsia" w:ascii="宋体" w:hAnsi="宋体" w:eastAsia="宋体" w:cs="宋体"/>
                <w:color w:val="auto"/>
                <w:sz w:val="24"/>
                <w:szCs w:val="24"/>
                <w:highlight w:val="none"/>
              </w:rPr>
              <w:t xml:space="preserve">按以下第</w:t>
            </w:r>
            <w:r>
              <w:rPr>
                <w:rFonts w:hint="eastAsia" w:ascii="宋体" w:hAnsi="宋体" w:eastAsia="宋体" w:cs="宋体"/>
                <w:color w:val="auto"/>
                <w:sz w:val="24"/>
                <w:szCs w:val="24"/>
                <w:highlight w:val="none"/>
                <w:u w:val="single"/>
              </w:rPr>
              <w:t xml:space="preserve">2</w:t>
            </w:r>
            <w:r>
              <w:rPr>
                <w:rFonts w:hint="eastAsia" w:ascii="宋体" w:hAnsi="宋体" w:eastAsia="宋体" w:cs="宋体"/>
                <w:color w:val="auto"/>
                <w:sz w:val="24"/>
                <w:szCs w:val="24"/>
                <w:highlight w:val="none"/>
              </w:rPr>
              <w:t xml:space="preserve">种方式确定：</w:t>
            </w:r>
            <w:r/>
          </w:p>
          <w:p>
            <w:pPr>
              <w:jc w:val="left"/>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1.允许分包，</w:t>
            </w:r>
            <w:bookmarkStart w:id="64" w:name="EB512ba06683724173802e2aae54a26079"/>
            <w:r>
              <w:rPr>
                <w:rFonts w:hint="eastAsia" w:ascii="宋体" w:hAnsi="宋体" w:eastAsia="宋体" w:cs="宋体"/>
                <w:color w:val="auto"/>
                <w:sz w:val="24"/>
                <w:szCs w:val="24"/>
                <w:highlight w:val="none"/>
              </w:rPr>
              <w:t xml:space="preserve">允许大中型企业向一家或者多家小微企业分包，分包具体内容、金额或比例：</w:t>
            </w:r>
            <w:bookmarkEnd w:id="64"/>
            <w:r>
              <w:rPr>
                <w:rFonts w:hint="eastAsia" w:ascii="宋体" w:hAnsi="宋体" w:eastAsia="宋体" w:cs="宋体"/>
                <w:color w:val="auto"/>
                <w:sz w:val="24"/>
                <w:szCs w:val="24"/>
                <w:highlight w:val="none"/>
              </w:rPr>
              <w:t xml:space="preserve">无</w:t>
            </w:r>
            <w:r/>
          </w:p>
          <w:p>
            <w:pPr>
              <w:jc w:val="left"/>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2.不允许分包。</w:t>
            </w:r>
            <w:r/>
          </w:p>
        </w:tc>
      </w:tr>
      <w:tr>
        <w:trPr/>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w:t>
            </w:r>
            <w:r/>
          </w:p>
        </w:tc>
        <w:tc>
          <w:tcPr>
            <w:tcBorders>
              <w:top w:val="single" w:color="000000" w:sz="4" w:space="0"/>
              <w:left w:val="none" w:color="000000" w:sz="4" w:space="0"/>
              <w:bottom w:val="single" w:color="000000" w:sz="4" w:space="0"/>
              <w:right w:val="single" w:color="000000" w:sz="4" w:space="0"/>
            </w:tcBorders>
            <w:tcW w:w="1806"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代理费用收取方式及标准</w:t>
            </w:r>
            <w:r/>
          </w:p>
        </w:tc>
        <w:tc>
          <w:tcPr>
            <w:tcBorders>
              <w:top w:val="single" w:color="000000" w:sz="4" w:space="0"/>
              <w:left w:val="none" w:color="000000" w:sz="4" w:space="0"/>
              <w:bottom w:val="single" w:color="000000" w:sz="4" w:space="0"/>
              <w:right w:val="single" w:color="000000" w:sz="4" w:space="0"/>
            </w:tcBorders>
            <w:tcW w:w="6545" w:type="dxa"/>
            <w:vAlign w:val="center"/>
            <w:textDirection w:val="lrTb"/>
            <w:noWrap w:val="false"/>
          </w:tcPr>
          <w:p>
            <w:pPr>
              <w:jc w:val="left"/>
              <w:spacing w:line="4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aps w:val="0"/>
                <w:color w:val="auto"/>
                <w:sz w:val="24"/>
                <w:szCs w:val="24"/>
                <w:highlight w:val="none"/>
                <w:lang w:val="en-US" w:eastAsia="zh-CN"/>
              </w:rPr>
              <w:t xml:space="preserve">采购人参照国家计委计价格[2002]1980 号文件规定标准*60%支付</w:t>
            </w:r>
            <w:r>
              <w:rPr>
                <w:rFonts w:hint="eastAsia" w:ascii="宋体" w:hAnsi="宋体" w:eastAsia="宋体" w:cs="宋体"/>
                <w:caps w:val="0"/>
                <w:color w:val="auto"/>
                <w:sz w:val="24"/>
                <w:szCs w:val="24"/>
                <w:highlight w:val="none"/>
                <w:lang w:val="zh-CN"/>
              </w:rPr>
              <w:t xml:space="preserve">。</w:t>
            </w:r>
            <w:r/>
          </w:p>
        </w:tc>
      </w:tr>
      <w:tr>
        <w:trPr/>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w:t>
            </w:r>
            <w:r/>
          </w:p>
        </w:tc>
        <w:tc>
          <w:tcPr>
            <w:tcBorders>
              <w:top w:val="single" w:color="000000" w:sz="4" w:space="0"/>
              <w:left w:val="none" w:color="000000" w:sz="4" w:space="0"/>
              <w:bottom w:val="single" w:color="000000" w:sz="4" w:space="0"/>
              <w:right w:val="single" w:color="000000" w:sz="4" w:space="0"/>
            </w:tcBorders>
            <w:tcW w:w="1806"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其他</w:t>
            </w:r>
            <w:bookmarkEnd w:id="56"/>
            <w:r/>
            <w:bookmarkEnd w:id="57"/>
            <w:r/>
            <w:bookmarkEnd w:id="58"/>
            <w:r/>
            <w:r/>
          </w:p>
        </w:tc>
        <w:tc>
          <w:tcPr>
            <w:tcBorders>
              <w:top w:val="single" w:color="000000" w:sz="4" w:space="0"/>
              <w:left w:val="none" w:color="000000" w:sz="4" w:space="0"/>
              <w:bottom w:val="single" w:color="000000" w:sz="4" w:space="0"/>
              <w:right w:val="single" w:color="000000" w:sz="4" w:space="0"/>
            </w:tcBorders>
            <w:tcW w:w="6545" w:type="dxa"/>
            <w:vAlign w:val="center"/>
            <w:textDirection w:val="lrTb"/>
            <w:noWrap w:val="false"/>
          </w:tcPr>
          <w:p>
            <w:pPr>
              <w:jc w:val="left"/>
              <w:spacing w:line="400" w:lineRule="exact"/>
              <w:rPr>
                <w:rFonts w:hint="eastAsia" w:ascii="宋体" w:hAnsi="宋体" w:eastAsia="宋体" w:cs="宋体"/>
                <w:color w:val="auto"/>
                <w:sz w:val="24"/>
                <w:szCs w:val="24"/>
                <w:highlight w:val="none"/>
              </w:rPr>
            </w:pPr>
            <w:r>
              <w:rPr>
                <w:rStyle w:val="1111"/>
                <w:rFonts w:hint="eastAsia" w:ascii="宋体" w:hAnsi="宋体" w:eastAsia="宋体" w:cs="宋体"/>
                <w:b/>
                <w:color w:val="auto"/>
                <w:sz w:val="24"/>
                <w:highlight w:val="none"/>
              </w:rPr>
              <w:t xml:space="preserve">不管招标结果如何，供应商均应自行承担招标所需一切费用。</w:t>
            </w:r>
            <w:r/>
          </w:p>
        </w:tc>
      </w:tr>
    </w:tbl>
    <w:p>
      <w:pPr>
        <w:keepLines/>
        <w:keepNext/>
        <w:spacing w:line="520" w:lineRule="exact"/>
        <w:rPr>
          <w:rFonts w:hint="eastAsia" w:ascii="宋体" w:hAnsi="宋体" w:eastAsia="宋体" w:cs="宋体"/>
          <w:b/>
          <w:bCs/>
          <w:color w:val="auto"/>
          <w:sz w:val="24"/>
          <w:szCs w:val="24"/>
          <w:highlight w:val="none"/>
        </w:rPr>
        <w:outlineLvl w:val="1"/>
      </w:pPr>
      <w:r/>
      <w:bookmarkStart w:id="65" w:name="_Toc8893"/>
      <w:r>
        <w:rPr>
          <w:rFonts w:hint="eastAsia" w:ascii="宋体" w:hAnsi="宋体" w:eastAsia="宋体" w:cs="宋体"/>
          <w:b/>
          <w:bCs/>
          <w:color w:val="auto"/>
          <w:sz w:val="24"/>
          <w:szCs w:val="24"/>
          <w:highlight w:val="none"/>
        </w:rPr>
        <w:t xml:space="preserve">一、总则</w:t>
      </w:r>
      <w:bookmarkEnd w:id="52"/>
      <w:r/>
      <w:bookmarkEnd w:id="53"/>
      <w:r/>
      <w:bookmarkEnd w:id="54"/>
      <w:r/>
      <w:bookmarkEnd w:id="55"/>
      <w:r/>
      <w:bookmarkEnd w:id="65"/>
      <w:r/>
      <w:r/>
    </w:p>
    <w:p>
      <w:pPr>
        <w:ind w:firstLine="480"/>
        <w:keepLines/>
        <w:keepNext/>
        <w:pageBreakBefore w:val="0"/>
        <w:spacing w:line="520" w:lineRule="exact"/>
        <w:widowControl w:val="off"/>
        <w:rPr>
          <w:rFonts w:hint="eastAsia" w:ascii="宋体" w:hAnsi="宋体" w:eastAsia="宋体" w:cs="宋体"/>
          <w:color w:val="auto"/>
          <w:sz w:val="24"/>
          <w:szCs w:val="24"/>
          <w:highlight w:val="none"/>
          <w:lang w:val="en-US" w:eastAsia="zh-CN"/>
        </w:rPr>
      </w:pPr>
      <w:r/>
      <w:bookmarkStart w:id="66" w:name="_Hlt16619475"/>
      <w:r/>
      <w:bookmarkEnd w:id="66"/>
      <w:r/>
      <w:bookmarkStart w:id="67" w:name="_Toc458694821"/>
      <w:r/>
      <w:bookmarkStart w:id="68" w:name="_Toc20823276"/>
      <w:r/>
      <w:bookmarkStart w:id="69" w:name="_Toc16938520"/>
      <w:r/>
      <w:bookmarkStart w:id="70" w:name="_Toc513029204"/>
      <w:r>
        <w:rPr>
          <w:rFonts w:hint="eastAsia" w:ascii="宋体" w:hAnsi="宋体" w:eastAsia="宋体" w:cs="宋体"/>
          <w:color w:val="auto"/>
          <w:sz w:val="24"/>
          <w:szCs w:val="24"/>
          <w:highlight w:val="none"/>
        </w:rPr>
        <w:t xml:space="preserve">1</w:t>
      </w:r>
      <w:bookmarkEnd w:id="67"/>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采购</w:t>
      </w:r>
      <w:bookmarkEnd w:id="68"/>
      <w:r/>
      <w:bookmarkEnd w:id="69"/>
      <w:r/>
      <w:bookmarkEnd w:id="70"/>
      <w:r>
        <w:rPr>
          <w:rFonts w:hint="eastAsia" w:ascii="宋体" w:hAnsi="宋体" w:eastAsia="宋体" w:cs="宋体"/>
          <w:color w:val="auto"/>
          <w:sz w:val="24"/>
          <w:szCs w:val="24"/>
          <w:highlight w:val="none"/>
          <w:lang w:val="en-US" w:eastAsia="zh-CN"/>
        </w:rPr>
        <w:t xml:space="preserve">方式</w:t>
      </w:r>
      <w:r/>
    </w:p>
    <w:p>
      <w:pPr>
        <w:ind w:firstLine="480"/>
        <w:keepLines/>
        <w:keepNext/>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1.1本次政府采购活动采取竞争性磋商(以下简称磋商)方式，本磋商文件仅适用于磋商公告中所述项目。</w:t>
      </w:r>
      <w:bookmarkStart w:id="71" w:name="_Toc20823277"/>
      <w:r/>
      <w:bookmarkStart w:id="72" w:name="_Toc513029205"/>
      <w:r/>
      <w:bookmarkStart w:id="73" w:name="_Toc16938521"/>
      <w:r/>
      <w:r/>
    </w:p>
    <w:p>
      <w:pPr>
        <w:ind w:firstLine="480"/>
        <w:keepLines/>
        <w:keepNext/>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2、合格的</w:t>
      </w:r>
      <w:bookmarkEnd w:id="71"/>
      <w:r/>
      <w:bookmarkEnd w:id="72"/>
      <w:r/>
      <w:bookmarkEnd w:id="73"/>
      <w:r>
        <w:rPr>
          <w:rFonts w:hint="eastAsia" w:ascii="宋体" w:hAnsi="宋体" w:eastAsia="宋体" w:cs="宋体"/>
          <w:color w:val="auto"/>
          <w:sz w:val="24"/>
          <w:szCs w:val="24"/>
          <w:highlight w:val="none"/>
        </w:rPr>
        <w:t xml:space="preserve">供应商</w:t>
      </w:r>
      <w:r/>
    </w:p>
    <w:p>
      <w:pPr>
        <w:ind w:firstLine="480"/>
        <w:keepLines/>
        <w:keepNext/>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2.1满足磋商公告中供应商资格要求的规定。</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2.2满足本磋商文件实质性要求和条件的规定。</w:t>
      </w:r>
      <w:bookmarkStart w:id="74" w:name="_Toc16938522"/>
      <w:r/>
      <w:bookmarkStart w:id="75" w:name="_Toc20823278"/>
      <w:r/>
      <w:bookmarkStart w:id="76" w:name="_Toc513029206"/>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3、适用法律</w:t>
      </w:r>
      <w:bookmarkEnd w:id="74"/>
      <w:r/>
      <w:bookmarkEnd w:id="75"/>
      <w:r/>
      <w:bookmarkEnd w:id="76"/>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3.1本次磋商及由此产生的合同受中华人民共和国有关的法律法规制约和保护。</w:t>
      </w:r>
      <w:bookmarkStart w:id="77" w:name="_Toc462564067"/>
      <w:r/>
      <w:bookmarkStart w:id="78" w:name="_Toc20823279"/>
      <w:r/>
      <w:bookmarkStart w:id="79" w:name="_Toc513029207"/>
      <w:r/>
      <w:bookmarkStart w:id="80" w:name="_Toc16938523"/>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4、磋商费用</w:t>
      </w:r>
      <w:bookmarkEnd w:id="77"/>
      <w:r/>
      <w:bookmarkEnd w:id="78"/>
      <w:r/>
      <w:bookmarkEnd w:id="79"/>
      <w:r/>
      <w:bookmarkEnd w:id="80"/>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4.1供应商应自行承担所有与参加本次磋商有关的费用，无论磋商过程中的做法和结果如何，采购代理机构在任何情况下均无义务和责任承担这些费用。</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4.2代理费用收取方式及标准：按以下第</w:t>
      </w:r>
      <w:r>
        <w:rPr>
          <w:rFonts w:hint="eastAsia" w:ascii="宋体" w:hAnsi="宋体" w:eastAsia="宋体" w:cs="宋体"/>
          <w:color w:val="auto"/>
          <w:sz w:val="24"/>
          <w:szCs w:val="24"/>
          <w:highlight w:val="none"/>
          <w:u w:val="single"/>
        </w:rPr>
        <w:t xml:space="preserve">2</w:t>
      </w:r>
      <w:r>
        <w:rPr>
          <w:rFonts w:hint="eastAsia" w:ascii="宋体" w:hAnsi="宋体" w:eastAsia="宋体" w:cs="宋体"/>
          <w:color w:val="auto"/>
          <w:sz w:val="24"/>
          <w:szCs w:val="24"/>
          <w:highlight w:val="none"/>
        </w:rPr>
        <w:t xml:space="preserve">种方式执行（接受数字人民币支付）</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4.2.1无需支付；</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4.2.2</w:t>
      </w:r>
      <w:r>
        <w:rPr>
          <w:rFonts w:hint="eastAsia" w:ascii="宋体" w:hAnsi="宋体" w:eastAsia="宋体" w:cs="宋体"/>
          <w:color w:val="auto"/>
          <w:sz w:val="24"/>
          <w:szCs w:val="24"/>
          <w:highlight w:val="none"/>
          <w:lang w:val="en-US" w:eastAsia="zh-CN"/>
        </w:rPr>
        <w:t xml:space="preserve">采购人支付，</w:t>
      </w:r>
      <w:r>
        <w:rPr>
          <w:rFonts w:hint="eastAsia" w:ascii="宋体" w:hAnsi="宋体" w:eastAsia="宋体" w:cs="宋体"/>
          <w:color w:val="auto"/>
          <w:sz w:val="24"/>
          <w:szCs w:val="24"/>
          <w:highlight w:val="none"/>
          <w:lang w:val="zh-CN"/>
        </w:rPr>
        <w:t xml:space="preserve">具体方式及标准为：</w:t>
      </w:r>
      <w:r>
        <w:rPr>
          <w:rFonts w:hint="eastAsia" w:ascii="宋体" w:hAnsi="宋体" w:eastAsia="宋体" w:cs="宋体"/>
          <w:caps w:val="0"/>
          <w:color w:val="auto"/>
          <w:sz w:val="24"/>
          <w:szCs w:val="24"/>
          <w:highlight w:val="none"/>
          <w:lang w:val="en-US" w:eastAsia="zh-CN"/>
        </w:rPr>
        <w:t xml:space="preserve">参照国家计委计价格[2002]1980号文件规定标准*60%支付</w:t>
      </w:r>
      <w:r>
        <w:rPr>
          <w:rFonts w:hint="eastAsia" w:ascii="宋体" w:hAnsi="宋体" w:eastAsia="宋体" w:cs="宋体"/>
          <w:caps w:val="0"/>
          <w:color w:val="auto"/>
          <w:sz w:val="24"/>
          <w:szCs w:val="24"/>
          <w:highlight w:val="none"/>
          <w:lang w:val="zh-CN"/>
        </w:rPr>
        <w:t xml:space="preserve">。</w:t>
      </w:r>
      <w:r/>
    </w:p>
    <w:p>
      <w:pPr>
        <w:ind w:firstLine="480"/>
        <w:keepLines/>
        <w:keepNext/>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5、磋商文件的约束力</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5.1</w:t>
      </w:r>
      <w:r>
        <w:rPr>
          <w:rFonts w:hint="eastAsia" w:ascii="宋体" w:hAnsi="宋体" w:eastAsia="宋体" w:cs="宋体"/>
          <w:color w:val="auto"/>
          <w:sz w:val="24"/>
          <w:szCs w:val="24"/>
          <w:highlight w:val="none"/>
        </w:rPr>
        <w:t xml:space="preserve">供应商一旦参加本项目采购活动，即被认为接受了本磋商文件的规定和约束。</w:t>
      </w:r>
      <w:r/>
    </w:p>
    <w:p>
      <w:pPr>
        <w:spacing w:line="520" w:lineRule="exact"/>
        <w:rPr>
          <w:rFonts w:hint="eastAsia" w:ascii="宋体" w:hAnsi="宋体" w:eastAsia="宋体" w:cs="宋体"/>
          <w:b/>
          <w:bCs/>
          <w:color w:val="auto"/>
          <w:sz w:val="24"/>
          <w:szCs w:val="24"/>
          <w:highlight w:val="none"/>
        </w:rPr>
        <w:outlineLvl w:val="1"/>
      </w:pPr>
      <w:r/>
      <w:bookmarkStart w:id="81" w:name="_Toc16938525"/>
      <w:r/>
      <w:bookmarkStart w:id="82" w:name="_Toc513029209"/>
      <w:r/>
      <w:bookmarkStart w:id="83" w:name="_Toc20823281"/>
      <w:r/>
      <w:bookmarkStart w:id="84" w:name="_Toc120614215"/>
      <w:r/>
      <w:bookmarkStart w:id="85" w:name="_Toc13144"/>
      <w:r>
        <w:rPr>
          <w:rFonts w:hint="eastAsia" w:ascii="宋体" w:hAnsi="宋体" w:eastAsia="宋体" w:cs="宋体"/>
          <w:b/>
          <w:bCs/>
          <w:color w:val="auto"/>
          <w:sz w:val="24"/>
          <w:szCs w:val="24"/>
          <w:highlight w:val="none"/>
        </w:rPr>
        <w:t xml:space="preserve">二、</w:t>
      </w:r>
      <w:bookmarkEnd w:id="81"/>
      <w:r/>
      <w:bookmarkEnd w:id="82"/>
      <w:r/>
      <w:bookmarkEnd w:id="83"/>
      <w:r/>
      <w:bookmarkEnd w:id="84"/>
      <w:r>
        <w:rPr>
          <w:rFonts w:hint="eastAsia" w:ascii="宋体" w:hAnsi="宋体" w:eastAsia="宋体" w:cs="宋体"/>
          <w:b/>
          <w:bCs/>
          <w:color w:val="auto"/>
          <w:sz w:val="24"/>
          <w:szCs w:val="24"/>
          <w:highlight w:val="none"/>
        </w:rPr>
        <w:t xml:space="preserve">磋商文件</w:t>
      </w:r>
      <w:bookmarkEnd w:id="85"/>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rPr>
      </w:pPr>
      <w:r/>
      <w:bookmarkStart w:id="86" w:name="_Toc513029210"/>
      <w:r/>
      <w:bookmarkStart w:id="87" w:name="_Toc20823282"/>
      <w:r/>
      <w:bookmarkStart w:id="88" w:name="_Toc16938526"/>
      <w:r>
        <w:rPr>
          <w:rFonts w:hint="eastAsia" w:ascii="宋体" w:hAnsi="宋体" w:eastAsia="宋体" w:cs="宋体"/>
          <w:color w:val="auto"/>
          <w:sz w:val="24"/>
          <w:szCs w:val="24"/>
          <w:highlight w:val="none"/>
        </w:rPr>
        <w:t xml:space="preserve">6、磋商文件构成</w:t>
      </w:r>
      <w:bookmarkEnd w:id="86"/>
      <w:r/>
      <w:bookmarkEnd w:id="87"/>
      <w:r/>
      <w:bookmarkEnd w:id="88"/>
      <w:r/>
      <w:r/>
    </w:p>
    <w:p>
      <w:pPr>
        <w:ind w:firstLine="480"/>
        <w:keepLines w:val="0"/>
        <w:keepNext w:val="0"/>
        <w:pageBreakBefore w:val="0"/>
        <w:spacing w:line="52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6.1磋商文件由以下部分组成：</w:t>
      </w:r>
      <w:r/>
    </w:p>
    <w:p>
      <w:pPr>
        <w:ind w:firstLine="480"/>
        <w:keepLines w:val="0"/>
        <w:keepNext w:val="0"/>
        <w:pageBreakBefore w:val="0"/>
        <w:spacing w:line="52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（1）磋商邀请</w:t>
      </w:r>
      <w:r/>
    </w:p>
    <w:p>
      <w:pPr>
        <w:ind w:firstLine="480"/>
        <w:keepLines w:val="0"/>
        <w:keepNext w:val="0"/>
        <w:pageBreakBefore w:val="0"/>
        <w:spacing w:line="52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（2）供应商须知</w:t>
      </w:r>
      <w:r/>
    </w:p>
    <w:p>
      <w:pPr>
        <w:ind w:firstLine="480"/>
        <w:keepLines w:val="0"/>
        <w:keepNext w:val="0"/>
        <w:pageBreakBefore w:val="0"/>
        <w:spacing w:line="52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（3）合同文本</w:t>
      </w:r>
      <w:r/>
    </w:p>
    <w:p>
      <w:pPr>
        <w:ind w:firstLine="480"/>
        <w:keepLines w:val="0"/>
        <w:keepNext w:val="0"/>
        <w:pageBreakBefore w:val="0"/>
        <w:spacing w:line="52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（4）采购需求</w:t>
      </w:r>
      <w:r/>
    </w:p>
    <w:p>
      <w:pPr>
        <w:ind w:firstLine="480"/>
        <w:keepLines w:val="0"/>
        <w:keepNext w:val="0"/>
        <w:pageBreakBefore w:val="0"/>
        <w:spacing w:line="52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（5）评审方法与评审标准</w:t>
      </w:r>
      <w:r/>
    </w:p>
    <w:p>
      <w:pPr>
        <w:ind w:firstLine="480"/>
        <w:keepLines w:val="0"/>
        <w:keepNext w:val="0"/>
        <w:pageBreakBefore w:val="0"/>
        <w:spacing w:line="52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（6）响应文件格式</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请仔细检查磋商文件是否齐全，如有缺漏请立即与采购代理机构联系解决。</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6.2</w:t>
      </w:r>
      <w:r>
        <w:rPr>
          <w:rFonts w:hint="eastAsia" w:ascii="宋体" w:hAnsi="宋体" w:eastAsia="宋体" w:cs="宋体"/>
          <w:color w:val="auto"/>
          <w:sz w:val="24"/>
          <w:szCs w:val="24"/>
          <w:highlight w:val="none"/>
        </w:rPr>
        <w:t xml:space="preserve">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ind w:firstLine="480"/>
        <w:keepLines/>
        <w:keepNext/>
        <w:spacing w:line="520" w:lineRule="exact"/>
        <w:rPr>
          <w:rFonts w:hint="eastAsia" w:ascii="宋体" w:hAnsi="宋体" w:eastAsia="宋体" w:cs="宋体"/>
          <w:color w:val="auto"/>
          <w:sz w:val="24"/>
          <w:szCs w:val="24"/>
          <w:highlight w:val="none"/>
        </w:rPr>
      </w:pPr>
      <w:r/>
      <w:bookmarkStart w:id="89" w:name="_Toc513029211"/>
      <w:r/>
      <w:bookmarkStart w:id="90" w:name="_Toc462564070"/>
      <w:r/>
      <w:bookmarkStart w:id="91" w:name="_Toc20823283"/>
      <w:r/>
      <w:bookmarkStart w:id="92" w:name="_Toc16938527"/>
      <w:r>
        <w:rPr>
          <w:rFonts w:hint="eastAsia" w:ascii="宋体" w:hAnsi="宋体" w:eastAsia="宋体" w:cs="宋体"/>
          <w:color w:val="auto"/>
          <w:sz w:val="24"/>
          <w:szCs w:val="24"/>
          <w:highlight w:val="none"/>
        </w:rPr>
        <w:t xml:space="preserve">7、磋商文件的澄清</w:t>
      </w:r>
      <w:bookmarkEnd w:id="89"/>
      <w:r/>
      <w:bookmarkEnd w:id="90"/>
      <w:r/>
      <w:bookmarkEnd w:id="91"/>
      <w:r/>
      <w:bookmarkEnd w:id="92"/>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7.1</w:t>
      </w:r>
      <w:r>
        <w:rPr>
          <w:rFonts w:hint="eastAsia" w:ascii="宋体" w:hAnsi="宋体" w:eastAsia="宋体" w:cs="宋体"/>
          <w:color w:val="auto"/>
          <w:sz w:val="24"/>
          <w:szCs w:val="24"/>
          <w:highlight w:val="none"/>
        </w:rPr>
        <w:t xml:space="preserve">任何要求对磋商文件进行澄清的供应商，应在磋商截止期5日前按磋商公告中的通讯地址，以书面形式通知采购代理机构。</w:t>
      </w:r>
      <w:bookmarkStart w:id="93" w:name="_Toc20823284"/>
      <w:r/>
      <w:bookmarkStart w:id="94" w:name="_Toc16938528"/>
      <w:r/>
      <w:bookmarkStart w:id="95" w:name="_Toc462564071"/>
      <w:r/>
      <w:bookmarkStart w:id="96" w:name="_Toc513029212"/>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8、磋商文件的澄清和修改</w:t>
      </w:r>
      <w:bookmarkEnd w:id="93"/>
      <w:r/>
      <w:bookmarkEnd w:id="94"/>
      <w:r/>
      <w:bookmarkEnd w:id="95"/>
      <w:r/>
      <w:bookmarkEnd w:id="96"/>
      <w:r/>
      <w:r/>
    </w:p>
    <w:p>
      <w:pPr>
        <w:ind w:firstLine="480"/>
        <w:spacing w:line="52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8.1采购代理机构可以以更正公告的形式，对已发出的磋商文件进行必要的澄清或者修改。澄清或者修改的内容可能影响响应文件编制的，更正公告应在</w:t>
      </w:r>
      <w:r>
        <w:rPr>
          <w:rFonts w:hint="eastAsia" w:ascii="宋体" w:hAnsi="宋体" w:eastAsia="宋体" w:cs="宋体"/>
          <w:color w:val="auto"/>
          <w:sz w:val="24"/>
          <w:szCs w:val="24"/>
          <w:highlight w:val="none"/>
        </w:rPr>
        <w:t xml:space="preserve">提交首次响应文件截止时间</w:t>
      </w:r>
      <w:r>
        <w:rPr>
          <w:rFonts w:hint="eastAsia" w:ascii="宋体" w:hAnsi="宋体" w:eastAsia="宋体" w:cs="宋体"/>
          <w:bCs/>
          <w:color w:val="auto"/>
          <w:sz w:val="24"/>
          <w:szCs w:val="24"/>
          <w:highlight w:val="none"/>
        </w:rPr>
        <w:t xml:space="preserve">至少5日前发出；不足5日的，采购代理机构应当顺延</w:t>
      </w:r>
      <w:r>
        <w:rPr>
          <w:rFonts w:hint="eastAsia" w:ascii="宋体" w:hAnsi="宋体" w:eastAsia="宋体" w:cs="宋体"/>
          <w:color w:val="auto"/>
          <w:sz w:val="24"/>
          <w:szCs w:val="24"/>
          <w:highlight w:val="none"/>
        </w:rPr>
        <w:t xml:space="preserve">提交首次响应文件截止时间</w:t>
      </w:r>
      <w:r>
        <w:rPr>
          <w:rFonts w:hint="eastAsia" w:ascii="宋体" w:hAnsi="宋体" w:eastAsia="宋体" w:cs="宋体"/>
          <w:bCs/>
          <w:color w:val="auto"/>
          <w:sz w:val="24"/>
          <w:szCs w:val="24"/>
          <w:highlight w:val="none"/>
        </w:rPr>
        <w:t xml:space="preserve">。</w:t>
      </w:r>
      <w:r/>
    </w:p>
    <w:p>
      <w:pPr>
        <w:ind w:firstLine="480"/>
        <w:spacing w:line="52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8.2</w:t>
      </w:r>
      <w:r>
        <w:rPr>
          <w:rFonts w:hint="eastAsia" w:ascii="宋体" w:hAnsi="宋体" w:eastAsia="宋体" w:cs="宋体"/>
          <w:color w:val="auto"/>
          <w:sz w:val="24"/>
          <w:szCs w:val="24"/>
          <w:highlight w:val="none"/>
        </w:rPr>
        <w:t xml:space="preserve">在响应文件提交截止时间前</w:t>
      </w:r>
      <w:r>
        <w:rPr>
          <w:rFonts w:hint="eastAsia" w:ascii="宋体" w:hAnsi="宋体" w:eastAsia="宋体" w:cs="宋体"/>
          <w:bCs/>
          <w:color w:val="auto"/>
          <w:sz w:val="24"/>
          <w:szCs w:val="24"/>
          <w:highlight w:val="none"/>
        </w:rPr>
        <w:t xml:space="preserve">，采购代理机构可以对磋商文件进行修改。</w:t>
      </w:r>
      <w:r/>
    </w:p>
    <w:p>
      <w:pPr>
        <w:ind w:firstLine="480"/>
        <w:spacing w:line="52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8.3采购代理机构有权按照法定的要求推迟响应文件递交截止日期和磋商日期。</w:t>
      </w:r>
      <w:r/>
    </w:p>
    <w:p>
      <w:pPr>
        <w:ind w:firstLine="480"/>
        <w:spacing w:line="52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8.4磋商文件的修改将在原公告媒体上发布更正公告，</w:t>
      </w:r>
      <w:r>
        <w:rPr>
          <w:rFonts w:hint="eastAsia" w:ascii="宋体" w:hAnsi="宋体" w:eastAsia="宋体" w:cs="宋体"/>
          <w:color w:val="auto"/>
          <w:sz w:val="24"/>
          <w:szCs w:val="24"/>
          <w:highlight w:val="none"/>
        </w:rPr>
        <w:t xml:space="preserve">更正公告内容将作为磋商文件的组成部分</w:t>
      </w:r>
      <w:r>
        <w:rPr>
          <w:rFonts w:hint="eastAsia" w:ascii="宋体" w:hAnsi="宋体" w:eastAsia="宋体" w:cs="宋体"/>
          <w:bCs/>
          <w:color w:val="auto"/>
          <w:sz w:val="24"/>
          <w:szCs w:val="24"/>
          <w:highlight w:val="none"/>
        </w:rPr>
        <w:t xml:space="preserve">，并对供应商具有约束力，发布的更正公告视同为以书面形式通知所有获取磋商文件的潜在供应商。</w:t>
      </w:r>
      <w:r/>
    </w:p>
    <w:p>
      <w:pPr>
        <w:ind w:firstLine="480"/>
        <w:spacing w:line="52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8.5供应商应及时登录“苏采云”系统获取澄清答疑文件（修改后磋商文件），如因供应商原因未能及时下载澄清和修改后的磋商文件，由此造成的相关责任，由供应商承担。</w:t>
      </w:r>
      <w:r/>
    </w:p>
    <w:p>
      <w:pPr>
        <w:keepLines/>
        <w:keepNext/>
        <w:spacing w:line="520" w:lineRule="exact"/>
        <w:rPr>
          <w:rFonts w:hint="eastAsia" w:ascii="宋体" w:hAnsi="宋体" w:eastAsia="宋体" w:cs="宋体"/>
          <w:b/>
          <w:bCs/>
          <w:color w:val="auto"/>
          <w:sz w:val="24"/>
          <w:szCs w:val="24"/>
          <w:highlight w:val="none"/>
        </w:rPr>
        <w:outlineLvl w:val="1"/>
      </w:pPr>
      <w:r/>
      <w:bookmarkStart w:id="97" w:name="_Toc462564072"/>
      <w:r/>
      <w:bookmarkStart w:id="98" w:name="_Toc120614216"/>
      <w:r/>
      <w:bookmarkStart w:id="99" w:name="_Toc16938529"/>
      <w:r/>
      <w:bookmarkStart w:id="100" w:name="_Toc402"/>
      <w:r/>
      <w:bookmarkStart w:id="101" w:name="_Toc20823285"/>
      <w:r/>
      <w:bookmarkStart w:id="102" w:name="_Toc513029213"/>
      <w:r>
        <w:rPr>
          <w:rFonts w:hint="eastAsia" w:ascii="宋体" w:hAnsi="宋体" w:eastAsia="宋体" w:cs="宋体"/>
          <w:b/>
          <w:bCs/>
          <w:color w:val="auto"/>
          <w:sz w:val="24"/>
          <w:szCs w:val="24"/>
          <w:highlight w:val="none"/>
        </w:rPr>
        <w:t xml:space="preserve">三、响应文件的编制</w:t>
      </w:r>
      <w:bookmarkEnd w:id="97"/>
      <w:r/>
      <w:bookmarkEnd w:id="98"/>
      <w:r/>
      <w:bookmarkEnd w:id="99"/>
      <w:r/>
      <w:bookmarkEnd w:id="100"/>
      <w:r/>
      <w:bookmarkEnd w:id="101"/>
      <w:r/>
      <w:bookmarkEnd w:id="102"/>
      <w:r/>
      <w:r/>
    </w:p>
    <w:p>
      <w:pPr>
        <w:ind w:firstLine="480"/>
        <w:keepLines/>
        <w:keepNext/>
        <w:spacing w:line="520" w:lineRule="exact"/>
        <w:rPr>
          <w:rFonts w:hint="eastAsia" w:ascii="宋体" w:hAnsi="宋体" w:eastAsia="宋体" w:cs="宋体"/>
          <w:b/>
          <w:color w:val="auto"/>
          <w:sz w:val="24"/>
          <w:szCs w:val="24"/>
          <w:highlight w:val="none"/>
        </w:rPr>
      </w:pPr>
      <w:r/>
      <w:bookmarkStart w:id="103" w:name="_Toc513029214"/>
      <w:r/>
      <w:bookmarkStart w:id="104" w:name="_Toc462564073"/>
      <w:r/>
      <w:bookmarkStart w:id="105" w:name="_Toc20823286"/>
      <w:r/>
      <w:bookmarkStart w:id="106" w:name="_Toc16938530"/>
      <w:r>
        <w:rPr>
          <w:rFonts w:hint="eastAsia" w:ascii="宋体" w:hAnsi="宋体" w:eastAsia="宋体" w:cs="宋体"/>
          <w:color w:val="auto"/>
          <w:sz w:val="24"/>
          <w:szCs w:val="24"/>
          <w:highlight w:val="none"/>
        </w:rPr>
        <w:t xml:space="preserve">9、响应文件的语言及度量衡单位</w:t>
      </w:r>
      <w:bookmarkEnd w:id="103"/>
      <w:r/>
      <w:bookmarkEnd w:id="104"/>
      <w:r/>
      <w:bookmarkEnd w:id="105"/>
      <w:r/>
      <w:bookmarkEnd w:id="106"/>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9.1</w:t>
      </w:r>
      <w:r>
        <w:rPr>
          <w:rFonts w:hint="eastAsia" w:ascii="宋体" w:hAnsi="宋体" w:eastAsia="宋体" w:cs="宋体"/>
          <w:color w:val="auto"/>
          <w:sz w:val="24"/>
          <w:szCs w:val="24"/>
          <w:highlight w:val="none"/>
        </w:rPr>
        <w:t xml:space="preserve">供应商提交的响应文件以及供应商与采购代理机构就有关磋商的所有来往通知、函件和文件均应使用</w:t>
      </w:r>
      <w:r>
        <w:rPr>
          <w:rFonts w:hint="eastAsia" w:ascii="宋体" w:hAnsi="宋体" w:eastAsia="宋体" w:cs="宋体"/>
          <w:b/>
          <w:bCs/>
          <w:color w:val="auto"/>
          <w:sz w:val="24"/>
          <w:szCs w:val="24"/>
          <w:highlight w:val="none"/>
        </w:rPr>
        <w:t xml:space="preserve">简体中文</w:t>
      </w:r>
      <w:r>
        <w:rPr>
          <w:rFonts w:hint="eastAsia" w:ascii="宋体" w:hAnsi="宋体" w:eastAsia="宋体" w:cs="宋体"/>
          <w:color w:val="auto"/>
          <w:sz w:val="24"/>
          <w:szCs w:val="24"/>
          <w:highlight w:val="none"/>
        </w:rPr>
        <w:t xml:space="preserve">。</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9.2</w:t>
      </w:r>
      <w:r>
        <w:rPr>
          <w:rFonts w:hint="eastAsia" w:ascii="宋体" w:hAnsi="宋体" w:eastAsia="宋体" w:cs="宋体"/>
          <w:color w:val="auto"/>
          <w:sz w:val="24"/>
          <w:szCs w:val="24"/>
          <w:highlight w:val="none"/>
        </w:rPr>
        <w:t xml:space="preserve">除技术性能另有规定外，响应文件所使用的度量衡单位，均须采用国家法定计量单位。</w:t>
      </w:r>
      <w:bookmarkStart w:id="107" w:name="_Toc20823287"/>
      <w:r/>
      <w:bookmarkStart w:id="108" w:name="_Toc513029215"/>
      <w:r/>
      <w:bookmarkStart w:id="109" w:name="_Toc462564074"/>
      <w:r/>
      <w:bookmarkStart w:id="110" w:name="_Toc16938531"/>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10、响应文件构成</w:t>
      </w:r>
      <w:bookmarkEnd w:id="107"/>
      <w:r/>
      <w:bookmarkEnd w:id="108"/>
      <w:r/>
      <w:bookmarkEnd w:id="109"/>
      <w:r/>
      <w:bookmarkEnd w:id="110"/>
      <w:r/>
      <w:r/>
    </w:p>
    <w:p>
      <w:pPr>
        <w:ind w:firstLine="480"/>
        <w:spacing w:line="52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10.1供应商应仔细阅读“磋商文件”的所有内容，按“磋商文件”第六章“响应文件格式”编制“电子响应文件”，如有必要，可以增加附页，作为响应文件的组成部分。本次磋商不接受纸质响应文件。供应商须保证所提供的全部资料的真实性、完整性及有效性，以使其投标对“磋商文件”作出实质性响应。否则，可能被拒绝。</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lang w:val="zh-CN"/>
        </w:rPr>
        <w:t xml:space="preserve">各供应商在编制</w:t>
      </w:r>
      <w:r>
        <w:rPr>
          <w:rFonts w:hint="eastAsia" w:ascii="宋体" w:hAnsi="宋体" w:eastAsia="宋体" w:cs="宋体"/>
          <w:bCs/>
          <w:color w:val="auto"/>
          <w:sz w:val="24"/>
          <w:szCs w:val="24"/>
          <w:highlight w:val="none"/>
        </w:rPr>
        <w:t xml:space="preserve">响应文件</w:t>
      </w:r>
      <w:r>
        <w:rPr>
          <w:rFonts w:hint="eastAsia" w:ascii="宋体" w:hAnsi="宋体" w:eastAsia="宋体" w:cs="宋体"/>
          <w:bCs/>
          <w:color w:val="auto"/>
          <w:sz w:val="24"/>
          <w:szCs w:val="24"/>
          <w:highlight w:val="none"/>
          <w:lang w:val="zh-CN"/>
        </w:rPr>
        <w:t xml:space="preserve">时请按照磋商文件第六</w:t>
      </w:r>
      <w:r>
        <w:rPr>
          <w:rFonts w:hint="eastAsia" w:ascii="宋体" w:hAnsi="宋体" w:eastAsia="宋体" w:cs="宋体"/>
          <w:bCs/>
          <w:color w:val="auto"/>
          <w:sz w:val="24"/>
          <w:szCs w:val="24"/>
          <w:highlight w:val="none"/>
        </w:rPr>
        <w:t xml:space="preserve">章</w:t>
      </w:r>
      <w:r>
        <w:rPr>
          <w:rFonts w:hint="eastAsia" w:ascii="宋体" w:hAnsi="宋体" w:eastAsia="宋体" w:cs="宋体"/>
          <w:bCs/>
          <w:color w:val="auto"/>
          <w:sz w:val="24"/>
          <w:szCs w:val="24"/>
          <w:highlight w:val="none"/>
          <w:lang w:val="zh-CN"/>
        </w:rPr>
        <w:t xml:space="preserve">规定的格式进行，混乱的编排导致</w:t>
      </w:r>
      <w:r>
        <w:rPr>
          <w:rFonts w:hint="eastAsia" w:ascii="宋体" w:hAnsi="宋体" w:eastAsia="宋体" w:cs="宋体"/>
          <w:bCs/>
          <w:color w:val="auto"/>
          <w:sz w:val="24"/>
          <w:szCs w:val="24"/>
          <w:highlight w:val="none"/>
        </w:rPr>
        <w:t xml:space="preserve">响应</w:t>
      </w:r>
      <w:r>
        <w:rPr>
          <w:rFonts w:hint="eastAsia" w:ascii="宋体" w:hAnsi="宋体" w:eastAsia="宋体" w:cs="宋体"/>
          <w:bCs/>
          <w:color w:val="auto"/>
          <w:sz w:val="24"/>
          <w:szCs w:val="24"/>
          <w:highlight w:val="none"/>
          <w:lang w:val="zh-CN"/>
        </w:rPr>
        <w:t xml:space="preserve">文件被误读或磋商小组查找不到有效文件是供应商的风险。</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10.2供应商编写的响应文件应包括资格证明文件、分项报价表、响应及偏离表、其他证明文件、</w:t>
      </w:r>
      <w:r>
        <w:rPr>
          <w:rFonts w:hint="eastAsia" w:ascii="宋体" w:hAnsi="宋体" w:eastAsia="宋体" w:cs="宋体"/>
          <w:color w:val="auto"/>
          <w:sz w:val="24"/>
          <w:szCs w:val="24"/>
          <w:highlight w:val="none"/>
          <w:lang w:eastAsia="zh-CN"/>
        </w:rPr>
        <w:t xml:space="preserve">响应声明及承诺函</w:t>
      </w:r>
      <w:r>
        <w:rPr>
          <w:rFonts w:hint="eastAsia" w:ascii="宋体" w:hAnsi="宋体" w:eastAsia="宋体" w:cs="宋体"/>
          <w:color w:val="auto"/>
          <w:sz w:val="24"/>
          <w:szCs w:val="24"/>
          <w:highlight w:val="none"/>
        </w:rPr>
        <w:t xml:space="preserve">函、报价一览表等部分。</w:t>
      </w:r>
      <w:r/>
    </w:p>
    <w:p>
      <w:pPr>
        <w:ind w:firstLine="480"/>
        <w:spacing w:line="52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10.3响应文件须加盖电子签章之处，应按要求加盖</w:t>
      </w:r>
      <w:r>
        <w:rPr>
          <w:rFonts w:hint="eastAsia" w:ascii="宋体" w:hAnsi="宋体" w:eastAsia="宋体" w:cs="宋体"/>
          <w:bCs/>
          <w:color w:val="auto"/>
          <w:sz w:val="24"/>
          <w:szCs w:val="24"/>
          <w:highlight w:val="none"/>
          <w:lang w:val="zh-CN"/>
        </w:rPr>
        <w:t xml:space="preserve">供应商</w:t>
      </w:r>
      <w:r>
        <w:rPr>
          <w:rFonts w:hint="eastAsia" w:ascii="宋体" w:hAnsi="宋体" w:eastAsia="宋体" w:cs="宋体"/>
          <w:bCs/>
          <w:color w:val="auto"/>
          <w:sz w:val="24"/>
          <w:szCs w:val="24"/>
          <w:highlight w:val="none"/>
        </w:rPr>
        <w:t xml:space="preserve">数字证书的电子签章。其他需要盖章但未明确要求电子签章的，</w:t>
      </w:r>
      <w:r>
        <w:rPr>
          <w:rFonts w:hint="eastAsia" w:ascii="宋体" w:hAnsi="宋体" w:eastAsia="宋体" w:cs="宋体"/>
          <w:bCs/>
          <w:color w:val="auto"/>
          <w:sz w:val="24"/>
          <w:szCs w:val="24"/>
          <w:highlight w:val="none"/>
          <w:lang w:val="zh-CN"/>
        </w:rPr>
        <w:t xml:space="preserve">供应商</w:t>
      </w:r>
      <w:r>
        <w:rPr>
          <w:rFonts w:hint="eastAsia" w:ascii="宋体" w:hAnsi="宋体" w:eastAsia="宋体" w:cs="宋体"/>
          <w:bCs/>
          <w:color w:val="auto"/>
          <w:sz w:val="24"/>
          <w:szCs w:val="24"/>
          <w:highlight w:val="none"/>
        </w:rPr>
        <w:t xml:space="preserve">可按要求加盖公章后上传材料电子件或直接加盖电子签章。</w:t>
      </w:r>
      <w:r/>
    </w:p>
    <w:p>
      <w:pPr>
        <w:ind w:firstLine="480"/>
        <w:spacing w:line="52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10.4本项目通过“苏采云”系统进行电子招标投标，即</w:t>
      </w:r>
      <w:r>
        <w:rPr>
          <w:rFonts w:hint="eastAsia" w:ascii="宋体" w:hAnsi="宋体" w:eastAsia="宋体" w:cs="宋体"/>
          <w:bCs/>
          <w:color w:val="auto"/>
          <w:sz w:val="24"/>
          <w:szCs w:val="24"/>
          <w:highlight w:val="none"/>
          <w:lang w:val="zh-CN"/>
        </w:rPr>
        <w:t xml:space="preserve">供应商</w:t>
      </w:r>
      <w:r>
        <w:rPr>
          <w:rFonts w:hint="eastAsia" w:ascii="宋体" w:hAnsi="宋体" w:eastAsia="宋体" w:cs="宋体"/>
          <w:bCs/>
          <w:color w:val="auto"/>
          <w:sz w:val="24"/>
          <w:szCs w:val="24"/>
          <w:highlight w:val="none"/>
        </w:rPr>
        <w:t xml:space="preserve">应当通过“苏采云”系统提交数据电文形式的响应文件（即电子投标）。响应文件使用政府采购客户端工具制作并通过“苏采云”系统提交，未进行响应文件提交并解密的</w:t>
      </w:r>
      <w:r>
        <w:rPr>
          <w:rFonts w:hint="eastAsia" w:ascii="宋体" w:hAnsi="宋体" w:eastAsia="宋体" w:cs="宋体"/>
          <w:bCs/>
          <w:color w:val="auto"/>
          <w:sz w:val="24"/>
          <w:szCs w:val="24"/>
          <w:highlight w:val="none"/>
          <w:lang w:val="zh-CN"/>
        </w:rPr>
        <w:t xml:space="preserve">供应商</w:t>
      </w:r>
      <w:r>
        <w:rPr>
          <w:rFonts w:hint="eastAsia" w:ascii="宋体" w:hAnsi="宋体" w:eastAsia="宋体" w:cs="宋体"/>
          <w:bCs/>
          <w:color w:val="auto"/>
          <w:sz w:val="24"/>
          <w:szCs w:val="24"/>
          <w:highlight w:val="none"/>
        </w:rPr>
        <w:t xml:space="preserve">，按照无效响应处理(因“苏采云”系统导致解密失败的除外)。</w:t>
      </w:r>
      <w:r/>
    </w:p>
    <w:p>
      <w:pPr>
        <w:ind w:firstLine="480"/>
        <w:spacing w:line="52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10.5如标书制作工具中格式和内容与“宿迁市政府采购网”发布的磋商文件不一致，请以“宿迁市政府采购网”发布的磋商文件为准。</w:t>
      </w:r>
      <w:r/>
    </w:p>
    <w:p>
      <w:pPr>
        <w:ind w:firstLine="480"/>
        <w:spacing w:line="520" w:lineRule="exact"/>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 xml:space="preserve">10.6成交后按相关要求提供与电子响应文件一致的纸质打印响应文件</w:t>
      </w:r>
      <w:r>
        <w:rPr>
          <w:rFonts w:hint="eastAsia" w:ascii="宋体" w:hAnsi="宋体" w:eastAsia="宋体" w:cs="宋体"/>
          <w:b/>
          <w:bCs w:val="0"/>
          <w:color w:val="auto"/>
          <w:sz w:val="24"/>
          <w:szCs w:val="24"/>
          <w:highlight w:val="none"/>
          <w:lang w:val="en-US" w:eastAsia="zh-CN"/>
        </w:rPr>
        <w:t xml:space="preserve">4</w:t>
      </w:r>
      <w:r>
        <w:rPr>
          <w:rFonts w:hint="eastAsia" w:ascii="宋体" w:hAnsi="宋体" w:eastAsia="宋体" w:cs="宋体"/>
          <w:b/>
          <w:bCs w:val="0"/>
          <w:color w:val="auto"/>
          <w:sz w:val="24"/>
          <w:szCs w:val="24"/>
          <w:highlight w:val="none"/>
        </w:rPr>
        <w:t xml:space="preserve">份。</w:t>
      </w:r>
      <w:r/>
    </w:p>
    <w:p>
      <w:pPr>
        <w:ind w:firstLine="482"/>
        <w:spacing w:line="520" w:lineRule="exact"/>
        <w:rPr>
          <w:rFonts w:hint="eastAsia" w:ascii="宋体" w:hAnsi="宋体" w:eastAsia="宋体" w:cs="宋体"/>
          <w:b/>
          <w:color w:val="auto"/>
          <w:sz w:val="24"/>
          <w:szCs w:val="24"/>
          <w:highlight w:val="none"/>
        </w:rPr>
      </w:pPr>
      <w:r/>
      <w:bookmarkStart w:id="111" w:name="EBc50e2bb832bb43068403b10c1cce6141"/>
      <w:r>
        <w:rPr>
          <w:rFonts w:hint="eastAsia" w:ascii="宋体" w:hAnsi="宋体" w:eastAsia="宋体" w:cs="宋体"/>
          <w:b/>
          <w:color w:val="auto"/>
          <w:sz w:val="24"/>
          <w:szCs w:val="24"/>
          <w:highlight w:val="none"/>
        </w:rPr>
        <w:t xml:space="preserve">注：（1）响应文件构成资料为非中文时应提供中文译版；（2）磋商文件要求提供证书证件等原件电子件的，供应商提供的电子件应是对证书证件等原件通过扫描、拍照等方式进行数字化的可被“苏采云”系统识别的数字文件，否则磋商小组可以视其未提供。（3）无论何种原因，即使供应商磋商时携带了证书证明资料的原件，但电子响应文件中未包含相关资料电子件的，磋商小组可以视同其未提供。</w:t>
      </w:r>
      <w:bookmarkEnd w:id="111"/>
      <w:r/>
      <w:bookmarkStart w:id="112" w:name="_Hlt26954838"/>
      <w:r/>
      <w:bookmarkEnd w:id="112"/>
      <w:r/>
      <w:bookmarkStart w:id="113" w:name="_Hlt26668975"/>
      <w:r/>
      <w:bookmarkEnd w:id="113"/>
      <w:r/>
      <w:bookmarkStart w:id="114" w:name="_Hlt26670360"/>
      <w:r/>
      <w:bookmarkEnd w:id="114"/>
      <w:r/>
      <w:bookmarkStart w:id="115" w:name="_Toc14577354"/>
      <w:r/>
      <w:bookmarkStart w:id="116" w:name="_Toc49090507"/>
      <w:r/>
      <w:bookmarkStart w:id="117" w:name="_Toc14577357"/>
      <w:r/>
      <w:bookmarkStart w:id="118" w:name="_Toc513029219"/>
      <w:r/>
      <w:bookmarkStart w:id="119" w:name="_Toc49090509"/>
      <w:r/>
      <w:bookmarkStart w:id="120" w:name="_Toc513029216"/>
      <w:r/>
      <w:bookmarkStart w:id="121" w:name="_Toc49090508"/>
      <w:r/>
      <w:bookmarkStart w:id="122" w:name="_Toc14577355"/>
      <w:r/>
      <w:r/>
    </w:p>
    <w:p>
      <w:pPr>
        <w:ind w:firstLine="482"/>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11、证明磋商响应标的符合磋商文件规定的文件</w:t>
      </w:r>
      <w:bookmarkEnd w:id="115"/>
      <w:r/>
      <w:bookmarkEnd w:id="116"/>
      <w:r/>
      <w:bookmarkEnd w:id="117"/>
      <w:r/>
      <w:bookmarkEnd w:id="118"/>
      <w:r/>
      <w:bookmarkEnd w:id="119"/>
      <w:r/>
      <w:bookmarkEnd w:id="120"/>
      <w:r/>
      <w:r/>
    </w:p>
    <w:p>
      <w:pPr>
        <w:ind w:firstLine="482"/>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11.1供应商应按照磋商文件要求提交证明文件，证明其及磋商响应标的符合磋商文件规定。</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11.2磋商文件对证明文件无明确形式要求的，证明文件可以以文字资料、图纸和数据等形式提交。</w:t>
      </w:r>
      <w:bookmarkEnd w:id="121"/>
      <w:r/>
      <w:bookmarkEnd w:id="122"/>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12、分项报价表</w:t>
      </w:r>
      <w:r/>
    </w:p>
    <w:p>
      <w:pPr>
        <w:ind w:firstLine="480"/>
        <w:spacing w:line="52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12.1</w:t>
      </w:r>
      <w:r>
        <w:rPr>
          <w:rFonts w:hint="eastAsia" w:ascii="宋体" w:hAnsi="宋体" w:eastAsia="宋体" w:cs="宋体"/>
          <w:color w:val="auto"/>
          <w:sz w:val="24"/>
          <w:szCs w:val="24"/>
          <w:highlight w:val="none"/>
        </w:rPr>
        <w:t xml:space="preserve">供应商应按照磋商文件规定格式填报分项报价表。</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12.2</w:t>
      </w:r>
      <w:r>
        <w:rPr>
          <w:rFonts w:hint="eastAsia" w:ascii="宋体" w:hAnsi="宋体" w:eastAsia="宋体" w:cs="宋体"/>
          <w:bCs/>
          <w:color w:val="auto"/>
          <w:sz w:val="24"/>
          <w:szCs w:val="24"/>
          <w:highlight w:val="none"/>
        </w:rPr>
        <w:t xml:space="preserve">磋商货币。响应文件中的单价和总价无特殊规定的采用人民币报价，以元为单位标注。</w:t>
      </w:r>
      <w:r>
        <w:rPr>
          <w:rFonts w:hint="eastAsia" w:ascii="宋体" w:hAnsi="宋体" w:eastAsia="宋体" w:cs="宋体"/>
          <w:color w:val="auto"/>
          <w:sz w:val="24"/>
          <w:szCs w:val="24"/>
          <w:highlight w:val="none"/>
        </w:rPr>
        <w:t xml:space="preserve">磋商文件中另有规定的按规定执行。</w:t>
      </w:r>
      <w:r/>
    </w:p>
    <w:p>
      <w:pPr>
        <w:ind w:firstLine="480"/>
        <w:spacing w:line="52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12.3本项目不接受备选的投标方案或有选择的报价，只允许有一个报价。供应商响应文件中的报价作为首次报价，不公开；以最后报价作为评审价。投标报价内容包括：完成该项目的成本、设备费、人工费、利润、税金、技术措施费、资料增加成本费、风险费、管理费、技术培训、咨询、市场风险及政策性调整及合同包含的所有风险、责任等所有费用。</w:t>
      </w:r>
      <w:r/>
    </w:p>
    <w:p>
      <w:pPr>
        <w:ind w:firstLine="480"/>
        <w:spacing w:line="520" w:lineRule="exact"/>
        <w:rPr>
          <w:rFonts w:hint="eastAsia" w:ascii="宋体" w:hAnsi="宋体" w:eastAsia="宋体" w:cs="宋体"/>
          <w:bCs/>
          <w:color w:val="auto"/>
          <w:sz w:val="24"/>
          <w:szCs w:val="24"/>
          <w:highlight w:val="none"/>
        </w:rPr>
      </w:pPr>
      <w:r>
        <w:rPr>
          <w:rFonts w:hint="eastAsia" w:ascii="宋体" w:hAnsi="宋体" w:cs="宋体"/>
          <w:bCs/>
          <w:color w:val="auto"/>
          <w:sz w:val="24"/>
          <w:szCs w:val="24"/>
          <w:highlight w:val="none"/>
          <w:lang w:val="en-US" w:eastAsia="zh-CN"/>
        </w:rPr>
        <w:t xml:space="preserve">12.4</w:t>
      </w:r>
      <w:r>
        <w:rPr>
          <w:rStyle w:val="1111"/>
          <w:rFonts w:hint="eastAsia" w:ascii="宋体" w:hAnsi="宋体" w:eastAsia="宋体" w:cs="宋体"/>
          <w:color w:val="auto"/>
          <w:sz w:val="24"/>
          <w:szCs w:val="24"/>
          <w:highlight w:val="none"/>
          <w:u w:val="none"/>
        </w:rPr>
        <w:t xml:space="preserve">供应商报价时应充分考虑所有可能影响到报价的因素，一旦磋商结束最终成交，如发生漏、缺、少项，都将被认为是成交人的报价让利行为，损失自负。</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13、技术要求响应及偏离表、商务要求响应及偏离表</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lang w:val="zh-CN"/>
        </w:rPr>
        <w:t xml:space="preserve">13.1</w:t>
      </w:r>
      <w:r>
        <w:rPr>
          <w:rFonts w:hint="eastAsia" w:ascii="宋体" w:hAnsi="宋体" w:eastAsia="宋体" w:cs="宋体"/>
          <w:color w:val="auto"/>
          <w:sz w:val="24"/>
          <w:szCs w:val="24"/>
          <w:highlight w:val="none"/>
          <w:lang w:val="zh-CN"/>
        </w:rPr>
        <w:t xml:space="preserve">供应商需对磋商文件中的技术要求与商务要求作出响应或偏离，并说明原因。</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13.2供应商可在响应文件中提供认为需要的其他技术文件或说明。</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14、服务承诺、培训计划、人员安排及其他</w:t>
      </w:r>
      <w:r/>
    </w:p>
    <w:p>
      <w:pPr>
        <w:ind w:left="0" w:firstLine="480"/>
        <w:pageBreakBefore w:val="0"/>
        <w:spacing w:line="560" w:lineRule="exact"/>
        <w:rPr>
          <w:rFonts w:hint="eastAsia" w:ascii="宋体" w:hAnsi="宋体" w:eastAsia="宋体" w:cs="宋体"/>
          <w:caps w:val="0"/>
          <w:color w:val="auto"/>
          <w:sz w:val="24"/>
          <w:szCs w:val="24"/>
          <w:highlight w:val="none"/>
        </w:rPr>
        <w:outlineLvl w:val="9"/>
      </w:pPr>
      <w:r/>
      <w:bookmarkStart w:id="123" w:name="_Toc14577359"/>
      <w:r/>
      <w:bookmarkStart w:id="124" w:name="_Toc49090510"/>
      <w:r>
        <w:rPr>
          <w:rFonts w:hint="eastAsia" w:ascii="宋体" w:hAnsi="宋体" w:eastAsia="宋体" w:cs="宋体"/>
          <w:bCs/>
          <w:caps w:val="0"/>
          <w:color w:val="auto"/>
          <w:sz w:val="24"/>
          <w:szCs w:val="24"/>
          <w:highlight w:val="none"/>
        </w:rPr>
        <w:t xml:space="preserve">14.1 </w:t>
      </w:r>
      <w:r>
        <w:rPr>
          <w:rFonts w:hint="eastAsia" w:ascii="宋体" w:hAnsi="宋体" w:eastAsia="宋体" w:cs="宋体"/>
          <w:caps w:val="0"/>
          <w:color w:val="auto"/>
          <w:sz w:val="24"/>
          <w:szCs w:val="24"/>
          <w:highlight w:val="none"/>
          <w:lang w:val="en-US" w:eastAsia="zh-CN"/>
        </w:rPr>
        <w:t xml:space="preserve">供应商</w:t>
      </w:r>
      <w:r>
        <w:rPr>
          <w:rFonts w:hint="eastAsia" w:ascii="宋体" w:hAnsi="宋体" w:eastAsia="宋体" w:cs="宋体"/>
          <w:caps w:val="0"/>
          <w:color w:val="auto"/>
          <w:sz w:val="24"/>
          <w:szCs w:val="24"/>
          <w:highlight w:val="none"/>
        </w:rPr>
        <w:t xml:space="preserve">需根据</w:t>
      </w:r>
      <w:r>
        <w:rPr>
          <w:rFonts w:hint="eastAsia" w:ascii="宋体" w:hAnsi="宋体" w:eastAsia="宋体" w:cs="宋体"/>
          <w:caps w:val="0"/>
          <w:color w:val="auto"/>
          <w:sz w:val="24"/>
          <w:szCs w:val="24"/>
          <w:highlight w:val="none"/>
          <w:lang w:val="en-US" w:eastAsia="zh-CN"/>
        </w:rPr>
        <w:t xml:space="preserve">磋商</w:t>
      </w:r>
      <w:r>
        <w:rPr>
          <w:rFonts w:hint="eastAsia" w:ascii="宋体" w:hAnsi="宋体" w:eastAsia="宋体" w:cs="宋体"/>
          <w:caps w:val="0"/>
          <w:color w:val="auto"/>
          <w:sz w:val="24"/>
          <w:szCs w:val="24"/>
          <w:highlight w:val="none"/>
        </w:rPr>
        <w:t xml:space="preserve">文件要求提供有关售后服务的管理制度，售后服务机构的分布情况，售后服务人员的数量、素质、技术水平及售后服务的反应能力等。</w:t>
      </w:r>
      <w:r/>
    </w:p>
    <w:p>
      <w:pPr>
        <w:ind w:left="0" w:firstLine="480"/>
        <w:pageBreakBefore w:val="0"/>
        <w:spacing w:line="560" w:lineRule="exact"/>
        <w:rPr>
          <w:rFonts w:hint="eastAsia" w:ascii="宋体" w:hAnsi="宋体" w:eastAsia="宋体" w:cs="宋体"/>
          <w:caps w:val="0"/>
          <w:color w:val="auto"/>
          <w:sz w:val="24"/>
          <w:szCs w:val="24"/>
          <w:highlight w:val="none"/>
        </w:rPr>
        <w:outlineLvl w:val="9"/>
      </w:pPr>
      <w:r>
        <w:rPr>
          <w:rFonts w:hint="eastAsia" w:ascii="宋体" w:hAnsi="宋体" w:eastAsia="宋体" w:cs="宋体"/>
          <w:caps w:val="0"/>
          <w:color w:val="auto"/>
          <w:sz w:val="24"/>
          <w:szCs w:val="24"/>
          <w:highlight w:val="none"/>
        </w:rPr>
        <w:t xml:space="preserve">14.2 </w:t>
      </w:r>
      <w:r>
        <w:rPr>
          <w:rFonts w:hint="eastAsia" w:ascii="宋体" w:hAnsi="宋体" w:eastAsia="宋体" w:cs="宋体"/>
          <w:caps w:val="0"/>
          <w:color w:val="auto"/>
          <w:sz w:val="24"/>
          <w:szCs w:val="24"/>
          <w:highlight w:val="none"/>
          <w:lang w:val="en-US" w:eastAsia="zh-CN"/>
        </w:rPr>
        <w:t xml:space="preserve">供应商</w:t>
      </w:r>
      <w:r>
        <w:rPr>
          <w:rFonts w:hint="eastAsia" w:ascii="宋体" w:hAnsi="宋体" w:eastAsia="宋体" w:cs="宋体"/>
          <w:caps w:val="0"/>
          <w:color w:val="auto"/>
          <w:sz w:val="24"/>
          <w:szCs w:val="24"/>
          <w:highlight w:val="none"/>
        </w:rPr>
        <w:t xml:space="preserve">需根据</w:t>
      </w:r>
      <w:r>
        <w:rPr>
          <w:rFonts w:hint="eastAsia" w:ascii="宋体" w:hAnsi="宋体" w:eastAsia="宋体" w:cs="宋体"/>
          <w:caps w:val="0"/>
          <w:color w:val="auto"/>
          <w:sz w:val="24"/>
          <w:szCs w:val="24"/>
          <w:highlight w:val="none"/>
          <w:lang w:val="en-US" w:eastAsia="zh-CN"/>
        </w:rPr>
        <w:t xml:space="preserve">磋商</w:t>
      </w:r>
      <w:r>
        <w:rPr>
          <w:rFonts w:hint="eastAsia" w:ascii="宋体" w:hAnsi="宋体" w:eastAsia="宋体" w:cs="宋体"/>
          <w:caps w:val="0"/>
          <w:color w:val="auto"/>
          <w:sz w:val="24"/>
          <w:szCs w:val="24"/>
          <w:highlight w:val="none"/>
        </w:rPr>
        <w:t xml:space="preserve">文件要求提供培训计划。</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15、磋商响应函</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15.1</w:t>
      </w:r>
      <w:r>
        <w:rPr>
          <w:rFonts w:hint="eastAsia" w:ascii="宋体" w:hAnsi="宋体" w:eastAsia="宋体" w:cs="宋体"/>
          <w:color w:val="auto"/>
          <w:sz w:val="24"/>
          <w:szCs w:val="24"/>
          <w:highlight w:val="none"/>
        </w:rPr>
        <w:t xml:space="preserve">供应商应按照磋商文件中提供的格式完整、正确填写磋商响应函。</w:t>
      </w:r>
      <w:bookmarkEnd w:id="123"/>
      <w:r/>
      <w:bookmarkEnd w:id="124"/>
      <w:r/>
      <w:bookmarkStart w:id="125" w:name="_Toc14577360"/>
      <w:r/>
      <w:bookmarkStart w:id="126" w:name="_Toc49090511"/>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16、磋商有效期</w:t>
      </w:r>
      <w:bookmarkEnd w:id="125"/>
      <w:r/>
      <w:bookmarkEnd w:id="126"/>
      <w:r/>
      <w:r/>
    </w:p>
    <w:p>
      <w:pPr>
        <w:ind w:firstLine="480"/>
        <w:spacing w:line="52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16.1磋商有效期为提交响应文件截止之日后</w:t>
      </w:r>
      <w:r>
        <w:rPr>
          <w:rFonts w:hint="eastAsia" w:ascii="宋体" w:hAnsi="宋体" w:eastAsia="宋体" w:cs="宋体"/>
          <w:b/>
          <w:color w:val="auto"/>
          <w:sz w:val="24"/>
          <w:szCs w:val="24"/>
          <w:highlight w:val="none"/>
          <w:u w:val="single"/>
        </w:rPr>
        <w:t xml:space="preserve">六十（60）天</w:t>
      </w:r>
      <w:r>
        <w:rPr>
          <w:rFonts w:hint="eastAsia" w:ascii="宋体" w:hAnsi="宋体" w:eastAsia="宋体" w:cs="宋体"/>
          <w:bCs/>
          <w:color w:val="auto"/>
          <w:sz w:val="24"/>
          <w:szCs w:val="24"/>
          <w:highlight w:val="none"/>
        </w:rPr>
        <w:t xml:space="preserve">。磋商有效期比规定短的将被视为非实质性响应磋商文件而予以拒绝。</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17、磋商有效期的延长</w:t>
      </w:r>
      <w:r/>
    </w:p>
    <w:p>
      <w:pPr>
        <w:ind w:firstLine="480"/>
        <w:spacing w:line="52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17.1在特殊情况下，</w:t>
      </w:r>
      <w:r>
        <w:rPr>
          <w:rFonts w:hint="eastAsia" w:ascii="宋体" w:hAnsi="宋体" w:eastAsia="宋体" w:cs="宋体"/>
          <w:color w:val="auto"/>
          <w:sz w:val="24"/>
          <w:szCs w:val="24"/>
          <w:highlight w:val="none"/>
        </w:rPr>
        <w:t xml:space="preserve">采购代理机构</w:t>
      </w:r>
      <w:r>
        <w:rPr>
          <w:rFonts w:hint="eastAsia" w:ascii="宋体" w:hAnsi="宋体" w:eastAsia="宋体" w:cs="宋体"/>
          <w:bCs/>
          <w:color w:val="auto"/>
          <w:sz w:val="24"/>
          <w:szCs w:val="24"/>
          <w:highlight w:val="none"/>
        </w:rPr>
        <w:t xml:space="preserve">于原磋商有效期满之前，可向供应商提出延长磋商有效期的要求。这种要求与答复均应采用书面形式。供应商可以拒绝</w:t>
      </w:r>
      <w:r>
        <w:rPr>
          <w:rFonts w:hint="eastAsia" w:ascii="宋体" w:hAnsi="宋体" w:eastAsia="宋体" w:cs="宋体"/>
          <w:color w:val="auto"/>
          <w:sz w:val="24"/>
          <w:szCs w:val="24"/>
          <w:highlight w:val="none"/>
        </w:rPr>
        <w:t xml:space="preserve">采购代理机构</w:t>
      </w:r>
      <w:r>
        <w:rPr>
          <w:rFonts w:hint="eastAsia" w:ascii="宋体" w:hAnsi="宋体" w:eastAsia="宋体" w:cs="宋体"/>
          <w:bCs/>
          <w:color w:val="auto"/>
          <w:sz w:val="24"/>
          <w:szCs w:val="24"/>
          <w:highlight w:val="none"/>
        </w:rPr>
        <w:t xml:space="preserve">的这一要求而放弃磋商，同意延长磋商有效期的供应商既不能要求也不允许修改其响应文件。</w:t>
      </w:r>
      <w:r>
        <w:rPr>
          <w:rFonts w:hint="eastAsia" w:ascii="宋体" w:hAnsi="宋体" w:eastAsia="宋体" w:cs="宋体"/>
          <w:color w:val="auto"/>
          <w:sz w:val="24"/>
          <w:szCs w:val="24"/>
          <w:highlight w:val="none"/>
        </w:rPr>
        <w:t xml:space="preserve">受磋商有效期约束的所有权利与义务均延长至新的有效期</w:t>
      </w:r>
      <w:r>
        <w:rPr>
          <w:rFonts w:hint="eastAsia" w:ascii="宋体" w:hAnsi="宋体" w:eastAsia="宋体" w:cs="宋体"/>
          <w:bCs/>
          <w:color w:val="auto"/>
          <w:sz w:val="24"/>
          <w:szCs w:val="24"/>
          <w:highlight w:val="none"/>
        </w:rPr>
        <w:t xml:space="preserve">。</w:t>
      </w:r>
      <w:r/>
    </w:p>
    <w:p>
      <w:pPr>
        <w:ind w:firstLine="480"/>
        <w:spacing w:line="52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17.2</w:t>
      </w:r>
      <w:r>
        <w:rPr>
          <w:rFonts w:hint="eastAsia" w:ascii="宋体" w:hAnsi="宋体" w:eastAsia="宋体" w:cs="宋体"/>
          <w:color w:val="auto"/>
          <w:sz w:val="24"/>
          <w:szCs w:val="24"/>
          <w:highlight w:val="none"/>
        </w:rPr>
        <w:t xml:space="preserve">成交人的响应文件作为项目合同的附件，其有效期至成交人全部合同义务履行完毕为止。</w:t>
      </w:r>
      <w:r/>
    </w:p>
    <w:p>
      <w:pPr>
        <w:keepLines/>
        <w:keepNext/>
        <w:spacing w:line="520" w:lineRule="exact"/>
        <w:rPr>
          <w:rFonts w:hint="eastAsia" w:ascii="宋体" w:hAnsi="宋体" w:eastAsia="宋体" w:cs="宋体"/>
          <w:b/>
          <w:bCs/>
          <w:color w:val="auto"/>
          <w:sz w:val="24"/>
          <w:szCs w:val="24"/>
          <w:highlight w:val="none"/>
        </w:rPr>
        <w:outlineLvl w:val="1"/>
      </w:pPr>
      <w:r/>
      <w:bookmarkStart w:id="127" w:name="_Hlt26954739"/>
      <w:r/>
      <w:bookmarkEnd w:id="127"/>
      <w:r/>
      <w:bookmarkStart w:id="128" w:name="_Hlt26954852"/>
      <w:r/>
      <w:bookmarkEnd w:id="128"/>
      <w:r/>
      <w:bookmarkStart w:id="129" w:name="_Toc513029224"/>
      <w:r/>
      <w:bookmarkStart w:id="130" w:name="_Toc120614217"/>
      <w:r/>
      <w:bookmarkStart w:id="131" w:name="_Toc20823296"/>
      <w:r/>
      <w:bookmarkStart w:id="132" w:name="_Toc16938540"/>
      <w:r/>
      <w:bookmarkStart w:id="133" w:name="_Toc17399"/>
      <w:r>
        <w:rPr>
          <w:rFonts w:hint="eastAsia" w:ascii="宋体" w:hAnsi="宋体" w:eastAsia="宋体" w:cs="宋体"/>
          <w:b/>
          <w:bCs/>
          <w:color w:val="auto"/>
          <w:sz w:val="24"/>
          <w:szCs w:val="24"/>
          <w:highlight w:val="none"/>
        </w:rPr>
        <w:t xml:space="preserve">四、响应文件的递交</w:t>
      </w:r>
      <w:bookmarkEnd w:id="129"/>
      <w:r/>
      <w:bookmarkEnd w:id="130"/>
      <w:r/>
      <w:bookmarkEnd w:id="131"/>
      <w:r/>
      <w:bookmarkEnd w:id="132"/>
      <w:r/>
      <w:bookmarkEnd w:id="133"/>
      <w:r/>
      <w:r/>
    </w:p>
    <w:p>
      <w:pPr>
        <w:ind w:firstLine="480"/>
        <w:keepLines/>
        <w:keepNext/>
        <w:spacing w:line="520" w:lineRule="exact"/>
        <w:rPr>
          <w:rFonts w:hint="eastAsia" w:ascii="宋体" w:hAnsi="宋体" w:eastAsia="宋体" w:cs="宋体"/>
          <w:color w:val="auto"/>
          <w:sz w:val="24"/>
          <w:szCs w:val="24"/>
          <w:highlight w:val="none"/>
        </w:rPr>
      </w:pPr>
      <w:r/>
      <w:bookmarkStart w:id="134" w:name="_Toc462564084"/>
      <w:r/>
      <w:bookmarkStart w:id="135" w:name="_Toc513029225"/>
      <w:r/>
      <w:bookmarkStart w:id="136" w:name="_Toc16938541"/>
      <w:r/>
      <w:bookmarkStart w:id="137" w:name="_Toc20823297"/>
      <w:r>
        <w:rPr>
          <w:rFonts w:hint="eastAsia" w:ascii="宋体" w:hAnsi="宋体" w:eastAsia="宋体" w:cs="宋体"/>
          <w:color w:val="auto"/>
          <w:sz w:val="24"/>
          <w:szCs w:val="24"/>
          <w:highlight w:val="none"/>
        </w:rPr>
        <w:t xml:space="preserve">18、电子磋商</w:t>
      </w:r>
      <w:bookmarkEnd w:id="134"/>
      <w:r/>
      <w:bookmarkEnd w:id="135"/>
      <w:r/>
      <w:bookmarkEnd w:id="136"/>
      <w:r/>
      <w:bookmarkEnd w:id="137"/>
      <w:r>
        <w:rPr>
          <w:rFonts w:hint="eastAsia" w:ascii="宋体" w:hAnsi="宋体" w:eastAsia="宋体" w:cs="宋体"/>
          <w:color w:val="auto"/>
          <w:sz w:val="24"/>
          <w:szCs w:val="24"/>
          <w:highlight w:val="none"/>
        </w:rPr>
        <w:t xml:space="preserve">响应文件的递交</w:t>
      </w:r>
      <w:r/>
    </w:p>
    <w:p>
      <w:pPr>
        <w:ind w:firstLine="480"/>
        <w:keepLines/>
        <w:keepNext/>
        <w:spacing w:line="52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18.1供应商应当按照《操作手册》规定，在提交响应文件截止时间前制作并上传电子响应文件。</w:t>
      </w:r>
      <w:bookmarkStart w:id="138" w:name="_Toc513029226"/>
      <w:r/>
      <w:bookmarkStart w:id="139" w:name="_Toc16938542"/>
      <w:r/>
      <w:bookmarkStart w:id="140" w:name="_Toc20823298"/>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18.2供应商通过“苏采云”系统不见面开标大厅在线参与开标活动。（具体操作详见《“苏采云”系统供应商操作手册》，网址链接http://www.ccgp-jiangsu.gov.cn//webfile/jiangsu/202311/1699268553318052447.pdf）</w:t>
      </w:r>
      <w:r/>
    </w:p>
    <w:p>
      <w:pPr>
        <w:ind w:firstLine="480"/>
        <w:keepLines/>
        <w:keepNext/>
        <w:spacing w:line="52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19、提交响应文件截止时间</w:t>
      </w:r>
      <w:bookmarkEnd w:id="138"/>
      <w:r/>
      <w:bookmarkEnd w:id="139"/>
      <w:r/>
      <w:bookmarkEnd w:id="140"/>
      <w:r/>
      <w:r/>
    </w:p>
    <w:p>
      <w:pPr>
        <w:ind w:firstLine="480"/>
        <w:spacing w:line="52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19.1供应商上传电子响应文件的时间不得迟于磋商公告中规定的提交响应文件截止时间。</w:t>
      </w:r>
      <w:r/>
    </w:p>
    <w:p>
      <w:pPr>
        <w:ind w:firstLine="482"/>
        <w:spacing w:line="520" w:lineRule="exact"/>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19.2采购代理机构</w:t>
      </w:r>
      <w:r>
        <w:rPr>
          <w:rFonts w:hint="eastAsia" w:ascii="宋体" w:hAnsi="宋体" w:eastAsia="宋体" w:cs="宋体"/>
          <w:bCs/>
          <w:color w:val="auto"/>
          <w:sz w:val="24"/>
          <w:szCs w:val="24"/>
          <w:highlight w:val="none"/>
        </w:rPr>
        <w:t xml:space="preserve">可以按照规定，通过修改磋商文件酌情延长提交响应文件截止日期，在此情况下，供应商的所有权利和义务以及供应商受制的截止日期均应以延长后新的截止日期为准。</w:t>
      </w:r>
      <w:r/>
    </w:p>
    <w:p>
      <w:pPr>
        <w:ind w:firstLine="482"/>
        <w:spacing w:line="520" w:lineRule="exact"/>
        <w:rPr>
          <w:rFonts w:hint="eastAsia" w:ascii="宋体" w:hAnsi="宋体" w:eastAsia="宋体" w:cs="宋体"/>
          <w:color w:val="auto"/>
          <w:sz w:val="24"/>
          <w:szCs w:val="24"/>
          <w:highlight w:val="none"/>
        </w:rPr>
      </w:pPr>
      <w:r/>
      <w:bookmarkStart w:id="141" w:name="_Toc20823299"/>
      <w:r/>
      <w:bookmarkStart w:id="142" w:name="_Toc513029227"/>
      <w:r/>
      <w:bookmarkStart w:id="143" w:name="_Toc16938543"/>
      <w:r>
        <w:rPr>
          <w:rFonts w:hint="eastAsia" w:ascii="宋体" w:hAnsi="宋体" w:eastAsia="宋体" w:cs="宋体"/>
          <w:color w:val="auto"/>
          <w:sz w:val="24"/>
          <w:szCs w:val="24"/>
          <w:highlight w:val="none"/>
        </w:rPr>
        <w:t xml:space="preserve">20、响应文件</w:t>
      </w:r>
      <w:bookmarkEnd w:id="141"/>
      <w:r/>
      <w:bookmarkEnd w:id="142"/>
      <w:r/>
      <w:bookmarkEnd w:id="143"/>
      <w:r>
        <w:rPr>
          <w:rFonts w:hint="eastAsia" w:ascii="宋体" w:hAnsi="宋体" w:eastAsia="宋体" w:cs="宋体"/>
          <w:color w:val="auto"/>
          <w:sz w:val="24"/>
          <w:szCs w:val="24"/>
          <w:highlight w:val="none"/>
        </w:rPr>
        <w:t xml:space="preserve">的拒收</w:t>
      </w:r>
      <w:r/>
    </w:p>
    <w:p>
      <w:pPr>
        <w:ind w:firstLine="482"/>
        <w:keepLines w:val="0"/>
        <w:keepNext w:val="0"/>
        <w:pageBreakBefore w:val="0"/>
        <w:spacing w:line="52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20.1</w:t>
      </w:r>
      <w:r>
        <w:rPr>
          <w:rFonts w:hint="eastAsia" w:ascii="宋体" w:hAnsi="宋体" w:eastAsia="宋体" w:cs="宋体"/>
          <w:color w:val="auto"/>
          <w:sz w:val="24"/>
          <w:szCs w:val="24"/>
          <w:highlight w:val="none"/>
        </w:rPr>
        <w:t xml:space="preserve">采购代理机构</w:t>
      </w:r>
      <w:r>
        <w:rPr>
          <w:rFonts w:hint="eastAsia" w:ascii="宋体" w:hAnsi="宋体" w:eastAsia="宋体" w:cs="宋体"/>
          <w:bCs/>
          <w:color w:val="auto"/>
          <w:sz w:val="24"/>
          <w:szCs w:val="24"/>
          <w:highlight w:val="none"/>
        </w:rPr>
        <w:t xml:space="preserve">拒绝接收在其规定的提交响应文件截止时间后上传的任何电子响应文件。供应商应将电子响应文件上传至“苏采云”系统对应的本次磋商分包中，未及时上传的，采购人不予受理。响应文件提交截止时间后，供应商对投标报价或其他实质性内容修正的函件和增加的任何优惠条件，一律拒绝接收。</w:t>
      </w:r>
      <w:bookmarkStart w:id="144" w:name="_Toc20823300"/>
      <w:r/>
      <w:bookmarkStart w:id="145" w:name="_Toc513029228"/>
      <w:r/>
      <w:bookmarkStart w:id="146" w:name="_Toc16938544"/>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21、响应文件的撤回和修改</w:t>
      </w:r>
      <w:bookmarkEnd w:id="144"/>
      <w:r/>
      <w:bookmarkEnd w:id="145"/>
      <w:r/>
      <w:bookmarkEnd w:id="146"/>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21.1响应文件的撤回</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21.1.1电子响应文件的撤回</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供应商可在</w:t>
      </w:r>
      <w:r>
        <w:rPr>
          <w:rFonts w:hint="eastAsia" w:ascii="宋体" w:hAnsi="宋体" w:eastAsia="宋体" w:cs="宋体"/>
          <w:bCs/>
          <w:color w:val="auto"/>
          <w:sz w:val="24"/>
          <w:szCs w:val="24"/>
          <w:highlight w:val="none"/>
        </w:rPr>
        <w:t xml:space="preserve">提交响应文件</w:t>
      </w:r>
      <w:r>
        <w:rPr>
          <w:rFonts w:hint="eastAsia" w:ascii="宋体" w:hAnsi="宋体" w:eastAsia="宋体" w:cs="宋体"/>
          <w:color w:val="auto"/>
          <w:sz w:val="24"/>
          <w:szCs w:val="24"/>
          <w:highlight w:val="none"/>
        </w:rPr>
        <w:t xml:space="preserve">截止时间前，撤回其电子响应文件，具体操作方法见《操作手册》。</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21.1.2供应商撤回电子响应文件，则认为其不再参与本项目磋商活动。</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21.2响应文件的修改</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21.2.1供应商可在</w:t>
      </w:r>
      <w:r>
        <w:rPr>
          <w:rFonts w:hint="eastAsia" w:ascii="宋体" w:hAnsi="宋体" w:eastAsia="宋体" w:cs="宋体"/>
          <w:bCs/>
          <w:color w:val="auto"/>
          <w:sz w:val="24"/>
          <w:szCs w:val="24"/>
          <w:highlight w:val="none"/>
        </w:rPr>
        <w:t xml:space="preserve">提交响应文件</w:t>
      </w:r>
      <w:r>
        <w:rPr>
          <w:rFonts w:hint="eastAsia" w:ascii="宋体" w:hAnsi="宋体" w:eastAsia="宋体" w:cs="宋体"/>
          <w:color w:val="auto"/>
          <w:sz w:val="24"/>
          <w:szCs w:val="24"/>
          <w:highlight w:val="none"/>
        </w:rPr>
        <w:t xml:space="preserve">截止时间前，对其电子响应文件进行修改，具体操作方法见《操作手册》。</w:t>
      </w:r>
      <w:r/>
    </w:p>
    <w:p>
      <w:pPr>
        <w:ind w:firstLine="480"/>
        <w:keepLines w:val="0"/>
        <w:keepNext w:val="0"/>
        <w:pageBreakBefore w:val="0"/>
        <w:spacing w:line="520" w:lineRule="exact"/>
        <w:widowControl w:val="off"/>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21.2.2</w:t>
      </w:r>
      <w:r>
        <w:rPr>
          <w:rFonts w:hint="eastAsia" w:ascii="宋体" w:hAnsi="宋体" w:eastAsia="宋体" w:cs="宋体"/>
          <w:bCs/>
          <w:color w:val="auto"/>
          <w:sz w:val="24"/>
          <w:szCs w:val="24"/>
          <w:highlight w:val="none"/>
        </w:rPr>
        <w:t xml:space="preserve">在提交响应文件截止时间之后，供应商不得对其电子响应文件作任何修改。</w:t>
      </w:r>
      <w:r/>
    </w:p>
    <w:p>
      <w:pPr>
        <w:ind w:firstLine="480"/>
        <w:keepLines w:val="0"/>
        <w:keepNext w:val="0"/>
        <w:pageBreakBefore w:val="0"/>
        <w:spacing w:line="520" w:lineRule="exact"/>
        <w:widowControl w:val="off"/>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21.3</w:t>
      </w:r>
      <w:r>
        <w:rPr>
          <w:rFonts w:hint="eastAsia" w:ascii="宋体" w:hAnsi="宋体" w:eastAsia="宋体" w:cs="宋体"/>
          <w:bCs/>
          <w:color w:val="auto"/>
          <w:sz w:val="24"/>
          <w:szCs w:val="24"/>
          <w:highlight w:val="none"/>
        </w:rPr>
        <w:t xml:space="preserve">在提交响应文件截止时间至磋商文件中规定的磋商有效期满之间的这段时间内，供应商不得撤回其响应文件。</w:t>
      </w:r>
      <w:r/>
    </w:p>
    <w:p>
      <w:pPr>
        <w:keepLines w:val="0"/>
        <w:keepNext w:val="0"/>
        <w:pageBreakBefore w:val="0"/>
        <w:spacing w:line="520" w:lineRule="exact"/>
        <w:widowControl w:val="off"/>
        <w:rPr>
          <w:rFonts w:hint="eastAsia" w:ascii="宋体" w:hAnsi="宋体" w:eastAsia="宋体" w:cs="宋体"/>
          <w:b/>
          <w:bCs/>
          <w:color w:val="auto"/>
          <w:sz w:val="24"/>
          <w:szCs w:val="24"/>
          <w:highlight w:val="none"/>
        </w:rPr>
        <w:outlineLvl w:val="1"/>
      </w:pPr>
      <w:r/>
      <w:bookmarkStart w:id="147" w:name="_Toc11774"/>
      <w:r/>
      <w:bookmarkStart w:id="148" w:name="_Toc20823301"/>
      <w:r/>
      <w:bookmarkStart w:id="149" w:name="_Toc513029229"/>
      <w:r/>
      <w:bookmarkStart w:id="150" w:name="_Toc16938545"/>
      <w:r/>
      <w:bookmarkStart w:id="151" w:name="_Toc120614218"/>
      <w:r>
        <w:rPr>
          <w:rFonts w:hint="eastAsia" w:ascii="宋体" w:hAnsi="宋体" w:eastAsia="宋体" w:cs="宋体"/>
          <w:b/>
          <w:bCs/>
          <w:color w:val="auto"/>
          <w:sz w:val="24"/>
          <w:szCs w:val="24"/>
          <w:highlight w:val="none"/>
        </w:rPr>
        <w:t xml:space="preserve">五、响应文件的解密与评审</w:t>
      </w:r>
      <w:bookmarkEnd w:id="147"/>
      <w:r/>
      <w:bookmarkEnd w:id="148"/>
      <w:r/>
      <w:bookmarkEnd w:id="149"/>
      <w:r/>
      <w:bookmarkEnd w:id="150"/>
      <w:r/>
      <w:bookmarkEnd w:id="151"/>
      <w:r/>
      <w:r/>
    </w:p>
    <w:p>
      <w:pPr>
        <w:ind w:firstLine="480"/>
        <w:keepLines w:val="0"/>
        <w:keepNext w:val="0"/>
        <w:pageBreakBefore w:val="0"/>
        <w:spacing w:line="520" w:lineRule="exact"/>
        <w:widowControl w:val="off"/>
        <w:rPr>
          <w:rFonts w:hint="eastAsia" w:ascii="宋体" w:hAnsi="宋体" w:eastAsia="宋体" w:cs="宋体"/>
          <w:b/>
          <w:bCs/>
          <w:color w:val="auto"/>
          <w:sz w:val="24"/>
          <w:szCs w:val="24"/>
          <w:highlight w:val="none"/>
        </w:rPr>
      </w:pPr>
      <w:r/>
      <w:bookmarkStart w:id="152" w:name="_Toc16938546"/>
      <w:r/>
      <w:bookmarkStart w:id="153" w:name="_Toc20823302"/>
      <w:r/>
      <w:bookmarkStart w:id="154" w:name="_Toc513029230"/>
      <w:r>
        <w:rPr>
          <w:rFonts w:hint="eastAsia" w:ascii="宋体" w:hAnsi="宋体" w:eastAsia="宋体" w:cs="宋体"/>
          <w:b/>
          <w:bCs/>
          <w:color w:val="auto"/>
          <w:sz w:val="24"/>
          <w:szCs w:val="24"/>
          <w:highlight w:val="none"/>
        </w:rPr>
        <w:t xml:space="preserve">22、</w:t>
      </w:r>
      <w:bookmarkEnd w:id="152"/>
      <w:r/>
      <w:bookmarkEnd w:id="153"/>
      <w:r/>
      <w:bookmarkEnd w:id="154"/>
      <w:r>
        <w:rPr>
          <w:rFonts w:hint="eastAsia" w:ascii="宋体" w:hAnsi="宋体" w:eastAsia="宋体" w:cs="宋体"/>
          <w:b/>
          <w:bCs/>
          <w:color w:val="auto"/>
          <w:sz w:val="24"/>
          <w:szCs w:val="24"/>
          <w:highlight w:val="none"/>
        </w:rPr>
        <w:t xml:space="preserve">响应文件解密</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22.1供应商应当按照《“苏采云”系统供应商操作手册》规定，参加磋商活动和在苏采云系统规定的时间内对磋商响应文件进行解密。</w:t>
      </w:r>
      <w:bookmarkStart w:id="155" w:name="_Toc513029231"/>
      <w:r/>
      <w:bookmarkStart w:id="156" w:name="_Toc16938547"/>
      <w:r/>
      <w:bookmarkStart w:id="157" w:name="_Toc20823303"/>
      <w:r/>
      <w:r/>
    </w:p>
    <w:p>
      <w:pPr>
        <w:ind w:firstLine="480"/>
        <w:keepLines w:val="0"/>
        <w:keepNext w:val="0"/>
        <w:pageBreakBefore w:val="0"/>
        <w:spacing w:line="52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23、磋商小组</w:t>
      </w:r>
      <w:r/>
    </w:p>
    <w:p>
      <w:pPr>
        <w:ind w:firstLine="480"/>
        <w:spacing w:line="520" w:lineRule="exact"/>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 xml:space="preserve">23.1采购代理机构将组织磋商小组对响应文件进行评审。磋商小组由采购人代表和有关技术、经济等方面的专家组成，且人员构成符合政府采购有关规定。</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23.2磋商小组独立工作，负责评审所有响应文件并确定</w:t>
      </w:r>
      <w:r>
        <w:rPr>
          <w:rFonts w:hint="eastAsia" w:ascii="宋体" w:hAnsi="宋体" w:eastAsia="宋体" w:cs="宋体"/>
          <w:color w:val="auto"/>
          <w:sz w:val="24"/>
          <w:szCs w:val="24"/>
          <w:highlight w:val="none"/>
          <w:lang w:eastAsia="zh-CN"/>
        </w:rPr>
        <w:t xml:space="preserve">成交候选人</w:t>
      </w:r>
      <w:r>
        <w:rPr>
          <w:rFonts w:hint="eastAsia" w:ascii="宋体" w:hAnsi="宋体" w:eastAsia="宋体" w:cs="宋体"/>
          <w:color w:val="auto"/>
          <w:sz w:val="24"/>
          <w:szCs w:val="24"/>
          <w:highlight w:val="none"/>
        </w:rPr>
        <w:t xml:space="preserve">。</w:t>
      </w:r>
      <w:r/>
    </w:p>
    <w:p>
      <w:pPr>
        <w:ind w:firstLine="480"/>
        <w:spacing w:line="52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24、评审过程的保密与公正</w:t>
      </w:r>
      <w:bookmarkEnd w:id="155"/>
      <w:r/>
      <w:bookmarkEnd w:id="156"/>
      <w:r/>
      <w:bookmarkEnd w:id="157"/>
      <w:r/>
      <w:r/>
    </w:p>
    <w:p>
      <w:pPr>
        <w:ind w:firstLine="480"/>
        <w:spacing w:line="520" w:lineRule="exact"/>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24.1</w:t>
      </w:r>
      <w:r>
        <w:rPr>
          <w:rFonts w:hint="eastAsia" w:ascii="宋体" w:hAnsi="宋体" w:eastAsia="宋体" w:cs="宋体"/>
          <w:bCs/>
          <w:color w:val="auto"/>
          <w:sz w:val="24"/>
          <w:szCs w:val="24"/>
          <w:highlight w:val="none"/>
        </w:rPr>
        <w:t xml:space="preserve">磋商小组、采购人和</w:t>
      </w:r>
      <w:r>
        <w:rPr>
          <w:rFonts w:hint="eastAsia" w:ascii="宋体" w:hAnsi="宋体" w:eastAsia="宋体" w:cs="宋体"/>
          <w:color w:val="auto"/>
          <w:sz w:val="24"/>
          <w:szCs w:val="24"/>
          <w:highlight w:val="none"/>
        </w:rPr>
        <w:t xml:space="preserve">采购代理机构</w:t>
      </w:r>
      <w:r>
        <w:rPr>
          <w:rFonts w:hint="eastAsia" w:ascii="宋体" w:hAnsi="宋体" w:eastAsia="宋体" w:cs="宋体"/>
          <w:bCs/>
          <w:color w:val="auto"/>
          <w:sz w:val="24"/>
          <w:szCs w:val="24"/>
          <w:highlight w:val="none"/>
        </w:rPr>
        <w:t xml:space="preserve">工作人员、相关监督人员等与评审工作有关的人员，对评审情况以及在评审过程中获悉的国家秘密、商业秘密负有保密责任。</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24.2在评审过程中，供应商不得以任何行为影响磋商评审过程，否则其响应文件将被作为无效响应文件。</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24.3在项目评审期间，采购代理机构将设专门人员与供应商联系。</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24.4采购代理机构和磋商小组不向未成交的供应商解释未成交原因，也不公布评审过程中的相关细节。</w:t>
      </w:r>
      <w:bookmarkStart w:id="158" w:name="_Toc513029232"/>
      <w:r/>
      <w:bookmarkStart w:id="159" w:name="_Toc16938548"/>
      <w:r/>
      <w:bookmarkStart w:id="160" w:name="_Toc20823304"/>
      <w:r/>
      <w:r/>
    </w:p>
    <w:p>
      <w:pPr>
        <w:ind w:firstLine="480"/>
        <w:spacing w:line="52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25、评审过程中的的澄清</w:t>
      </w:r>
      <w:bookmarkEnd w:id="158"/>
      <w:r/>
      <w:bookmarkEnd w:id="159"/>
      <w:r/>
      <w:bookmarkEnd w:id="160"/>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磋商小组并非对每个供应商都作澄清要求。</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25.2需要供应商进行澄清、说明和更正的，本项目供应商的澄清、说明或者补正采用线上澄清，磋商小组将通过苏采云系统向供应商发布“澄清要求函”，接到“澄清要求函”的供应商应当按照要求在规定时间内通过苏采云系统中提交“澄清响应函”并加盖CA电子公章。澄清、说明和更正的内容作为响应文件的补充部分，具体操作方式见《操作手册》。</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25.3接到磋商小组澄清、说明和更正要求的供应商如未按规定做出澄清、说明和更正，其风险由供应商自行承担。</w:t>
      </w:r>
      <w:bookmarkStart w:id="161" w:name="_Toc16938549"/>
      <w:r/>
      <w:bookmarkStart w:id="162" w:name="_Toc513029233"/>
      <w:r/>
      <w:bookmarkStart w:id="163" w:name="_Toc20823305"/>
      <w:r/>
      <w:r/>
    </w:p>
    <w:p>
      <w:pPr>
        <w:ind w:firstLine="480"/>
        <w:spacing w:line="52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26、对响应文件的审</w:t>
      </w:r>
      <w:bookmarkEnd w:id="161"/>
      <w:r/>
      <w:bookmarkEnd w:id="162"/>
      <w:r/>
      <w:bookmarkEnd w:id="163"/>
      <w:r>
        <w:rPr>
          <w:rFonts w:hint="eastAsia" w:ascii="宋体" w:hAnsi="宋体" w:eastAsia="宋体" w:cs="宋体"/>
          <w:b/>
          <w:bCs/>
          <w:color w:val="auto"/>
          <w:sz w:val="24"/>
          <w:szCs w:val="24"/>
          <w:highlight w:val="none"/>
        </w:rPr>
        <w:t xml:space="preserve">查</w:t>
      </w:r>
      <w:r/>
    </w:p>
    <w:p>
      <w:pPr>
        <w:ind w:firstLine="480"/>
        <w:spacing w:line="520" w:lineRule="exact"/>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26.1</w:t>
      </w:r>
      <w:r>
        <w:rPr>
          <w:rFonts w:hint="eastAsia" w:ascii="宋体" w:hAnsi="宋体" w:eastAsia="宋体" w:cs="宋体"/>
          <w:bCs/>
          <w:color w:val="auto"/>
          <w:sz w:val="24"/>
          <w:szCs w:val="24"/>
          <w:highlight w:val="none"/>
        </w:rPr>
        <w:t xml:space="preserve">响应文件审查分为资格审查和符合性审查。</w:t>
      </w:r>
      <w:r/>
    </w:p>
    <w:p>
      <w:pPr>
        <w:ind w:firstLine="480"/>
        <w:spacing w:line="52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26.1.1资格审查：由磋商小组依据法律法规和磋商文件的规定，对响应文件中的资格证明文件进行审查，以确定供应商是否具备参加磋商的资格。</w:t>
      </w:r>
      <w:r/>
    </w:p>
    <w:p>
      <w:pPr>
        <w:ind w:firstLine="480"/>
        <w:spacing w:line="52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磋商小组在进行资格审查的同时，将在“信用中国”网站（www.creditchina.gov.cn）查询供应商的信用记录，以确定供应商是否具备磋商资格,查询结果留存并归档。</w:t>
      </w:r>
      <w:r/>
    </w:p>
    <w:p>
      <w:pPr>
        <w:ind w:firstLine="480"/>
        <w:spacing w:line="52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80"/>
        <w:spacing w:line="52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26.1.2符合性审查：依据磋商文件的规定，由磋商小组从响应文件的有效性、完整性和对磋商文件的响应程度进行审查，以确定是否对磋商文件的实质性要求作出响应。</w:t>
      </w:r>
      <w:r/>
    </w:p>
    <w:p>
      <w:pPr>
        <w:ind w:firstLine="480"/>
        <w:spacing w:line="52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26.1.3未通过资格审查或符合性审查的供应商，磋商小组将在</w:t>
      </w:r>
      <w:r>
        <w:rPr>
          <w:rFonts w:hint="eastAsia" w:ascii="宋体" w:hAnsi="宋体" w:eastAsia="宋体" w:cs="宋体"/>
          <w:color w:val="auto"/>
          <w:sz w:val="24"/>
          <w:szCs w:val="24"/>
          <w:highlight w:val="none"/>
        </w:rPr>
        <w:t xml:space="preserve">苏采云系统</w:t>
      </w:r>
      <w:r>
        <w:rPr>
          <w:rFonts w:hint="eastAsia" w:ascii="宋体" w:hAnsi="宋体" w:eastAsia="宋体" w:cs="宋体"/>
          <w:bCs/>
          <w:color w:val="auto"/>
          <w:sz w:val="24"/>
          <w:szCs w:val="24"/>
          <w:highlight w:val="none"/>
        </w:rPr>
        <w:t xml:space="preserve">中告知未通过资格审查或符合性审查的原因，评审结束后，磋商小组将不再告知未通过资格审查或符合性审查的原因。</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26.2在详细评审之前，磋商小组将首先审查每份响应文件是否实质性响应了磋商文件的要求。实质性响应的响应文件应该是与磋商文件要求的条款、条件和规格相符，没有重大偏离或保留。</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所谓重大偏离或保留是指与磋商文件规定的实质性要求存在负偏离，或者在实质上与磋商文件不一致，而且限制了合同中买方和采购代理机构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ind w:firstLine="482"/>
        <w:spacing w:line="5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26.3未实质性响应磋商文件的情形</w:t>
      </w:r>
      <w:r/>
    </w:p>
    <w:p>
      <w:pPr>
        <w:ind w:firstLine="480"/>
        <w:spacing w:line="52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26.3.1供应商在</w:t>
      </w:r>
      <w:r>
        <w:rPr>
          <w:rFonts w:hint="eastAsia" w:ascii="宋体" w:hAnsi="宋体" w:eastAsia="宋体" w:cs="宋体"/>
          <w:color w:val="auto"/>
          <w:sz w:val="24"/>
          <w:szCs w:val="24"/>
          <w:highlight w:val="none"/>
        </w:rPr>
        <w:t xml:space="preserve">苏采云系统</w:t>
      </w:r>
      <w:r>
        <w:rPr>
          <w:rFonts w:hint="eastAsia" w:ascii="宋体" w:hAnsi="宋体" w:eastAsia="宋体" w:cs="宋体"/>
          <w:bCs/>
          <w:color w:val="auto"/>
          <w:sz w:val="24"/>
          <w:szCs w:val="24"/>
          <w:highlight w:val="none"/>
        </w:rPr>
        <w:t xml:space="preserve">规定的时间内未成功解密电子响应文件的。</w:t>
      </w:r>
      <w:r/>
    </w:p>
    <w:p>
      <w:pPr>
        <w:ind w:firstLine="480"/>
        <w:spacing w:line="52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26.3.2供应商未按照磋商文件要求上传电子响应文件的。</w:t>
      </w:r>
      <w:r/>
    </w:p>
    <w:p>
      <w:pPr>
        <w:ind w:firstLine="480"/>
        <w:spacing w:line="52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26.3.3同一供应商提交两个（含两个）以上不同的响应文件或者最后报价的。</w:t>
      </w:r>
      <w:r/>
    </w:p>
    <w:p>
      <w:pPr>
        <w:ind w:firstLine="480"/>
        <w:spacing w:line="52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26.3.4供应商不具备磋商文件中规定资格要求的。</w:t>
      </w:r>
      <w:r/>
    </w:p>
    <w:p>
      <w:pPr>
        <w:ind w:firstLine="480"/>
        <w:spacing w:line="52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26.3.5供应商的最后报价超过了采购预算。</w:t>
      </w:r>
      <w:r/>
    </w:p>
    <w:p>
      <w:pPr>
        <w:ind w:firstLine="480"/>
        <w:spacing w:line="52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26.3.6不符合磋商文件中规定的实质性要求和条件的</w:t>
      </w:r>
      <w:r>
        <w:rPr>
          <w:rFonts w:hint="eastAsia" w:ascii="宋体" w:hAnsi="宋体" w:eastAsia="宋体" w:cs="宋体"/>
          <w:b/>
          <w:color w:val="auto"/>
          <w:sz w:val="24"/>
          <w:szCs w:val="24"/>
          <w:highlight w:val="none"/>
        </w:rPr>
        <w:t xml:space="preserve">（打“★”内容为实质性要求和条件）。</w:t>
      </w:r>
      <w:r/>
    </w:p>
    <w:p>
      <w:pPr>
        <w:ind w:firstLine="480"/>
        <w:spacing w:line="52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26.3.7供应商被“信用中国”网站（www.creditchina.gov.cn）列入失信被执行人或</w:t>
      </w:r>
      <w:r>
        <w:rPr>
          <w:rFonts w:hint="eastAsia" w:ascii="宋体" w:hAnsi="宋体" w:eastAsia="宋体" w:cs="宋体"/>
          <w:bCs/>
          <w:color w:val="auto"/>
          <w:sz w:val="24"/>
          <w:szCs w:val="24"/>
          <w:highlight w:val="none"/>
          <w:lang w:eastAsia="zh-CN"/>
        </w:rPr>
        <w:t xml:space="preserve">重大税收违法案件当事人名单</w:t>
      </w:r>
      <w:r>
        <w:rPr>
          <w:rFonts w:hint="eastAsia" w:ascii="宋体" w:hAnsi="宋体" w:eastAsia="宋体" w:cs="宋体"/>
          <w:bCs/>
          <w:color w:val="auto"/>
          <w:sz w:val="24"/>
          <w:szCs w:val="24"/>
          <w:highlight w:val="none"/>
        </w:rPr>
        <w:t xml:space="preserve">或政府采购严重失信行为记录名单。或查询“信用中国”网站后发现供应商存在其他不符合《中华人民共和国政府采购法》第二十二条规定条件的信用记录。</w:t>
      </w:r>
      <w:r/>
    </w:p>
    <w:p>
      <w:pPr>
        <w:ind w:firstLine="480"/>
        <w:spacing w:line="52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26.3.8响应文件含有采购人不能接受的附加条件的。</w:t>
      </w:r>
      <w:r/>
    </w:p>
    <w:p>
      <w:pPr>
        <w:ind w:firstLine="480"/>
        <w:spacing w:line="52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26.3.9本项目采购产品被财政部、国家发改委、生态环境部等列入“节能产品品目清单”、“环境标志产品品目清单”强制采购范围，而磋商供应商所磋商产品不在强制采购范围内的。（磋商产品如属于政府强制采购节能产品品目清单范围内，磋商响应文件中必须提供国家确定的认证机构出具的、处于有效期之内的该节能产品认证证书图片）</w:t>
      </w:r>
      <w:r/>
    </w:p>
    <w:p>
      <w:pPr>
        <w:ind w:firstLine="480"/>
        <w:spacing w:line="52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26.3.10响应文件未按照磋商文件要求加盖CA电子公章的。</w:t>
      </w:r>
      <w:r/>
    </w:p>
    <w:p>
      <w:pPr>
        <w:ind w:firstLine="480"/>
        <w:spacing w:line="52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26.4未实质性响应磋商文件的响应文件按无效响应处理。</w:t>
      </w:r>
      <w:r/>
    </w:p>
    <w:p>
      <w:pPr>
        <w:ind w:firstLine="480"/>
        <w:spacing w:line="520" w:lineRule="exact"/>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26.5</w:t>
      </w:r>
      <w:r>
        <w:rPr>
          <w:rFonts w:hint="eastAsia" w:ascii="宋体" w:hAnsi="宋体" w:eastAsia="宋体" w:cs="宋体"/>
          <w:bCs/>
          <w:color w:val="auto"/>
          <w:sz w:val="24"/>
          <w:szCs w:val="24"/>
          <w:highlight w:val="none"/>
        </w:rPr>
        <w:t xml:space="preserve">如果响应文件实质上没有响应磋商文件的要求，磋商小组将予以拒绝，供应商不得通过修改或撤销不合要求的偏离或保留而使其成为实质性响应的文件。</w:t>
      </w:r>
      <w:r/>
    </w:p>
    <w:p>
      <w:pPr>
        <w:ind w:firstLine="480"/>
        <w:spacing w:line="520" w:lineRule="exact"/>
        <w:rPr>
          <w:rFonts w:hint="eastAsia" w:ascii="宋体" w:hAnsi="宋体" w:eastAsia="宋体" w:cs="宋体"/>
          <w:color w:val="auto"/>
          <w:sz w:val="24"/>
          <w:szCs w:val="24"/>
          <w:highlight w:val="none"/>
        </w:rPr>
      </w:pPr>
      <w:r/>
      <w:bookmarkStart w:id="164" w:name="_Toc20823306"/>
      <w:r/>
      <w:bookmarkStart w:id="165" w:name="_Toc513029234"/>
      <w:r/>
      <w:bookmarkStart w:id="166" w:name="_Toc16938550"/>
      <w:r>
        <w:rPr>
          <w:rFonts w:hint="eastAsia" w:ascii="宋体" w:hAnsi="宋体" w:eastAsia="宋体" w:cs="宋体"/>
          <w:color w:val="auto"/>
          <w:sz w:val="24"/>
          <w:szCs w:val="24"/>
          <w:highlight w:val="none"/>
        </w:rPr>
        <w:t xml:space="preserve">26.6供应商在项目评审全过程中应保持通讯畅通，并安排专人与采购代理机构及磋商小组联系。</w:t>
      </w:r>
      <w:r/>
    </w:p>
    <w:p>
      <w:pPr>
        <w:ind w:firstLine="480"/>
        <w:spacing w:line="52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27、</w:t>
      </w:r>
      <w:bookmarkEnd w:id="164"/>
      <w:r/>
      <w:bookmarkEnd w:id="165"/>
      <w:r/>
      <w:bookmarkEnd w:id="166"/>
      <w:r>
        <w:rPr>
          <w:rFonts w:hint="eastAsia" w:ascii="宋体" w:hAnsi="宋体" w:eastAsia="宋体" w:cs="宋体"/>
          <w:b/>
          <w:bCs/>
          <w:color w:val="auto"/>
          <w:sz w:val="24"/>
          <w:szCs w:val="24"/>
          <w:highlight w:val="none"/>
        </w:rPr>
        <w:t xml:space="preserve">磋商程序及评审方法和评审标准</w:t>
      </w:r>
      <w:r/>
    </w:p>
    <w:p>
      <w:pPr>
        <w:ind w:firstLine="477"/>
        <w:spacing w:line="520" w:lineRule="exact"/>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27.1磋商程序</w:t>
      </w:r>
      <w:r/>
    </w:p>
    <w:p>
      <w:pPr>
        <w:ind w:firstLine="477"/>
        <w:spacing w:line="520" w:lineRule="exact"/>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27.1.1对于通过资格审查和符合性审查的供应商，磋商小组将集中与单一供应商分别进行磋商。磋商小组通过苏采云系统向供应商发布“磋商函”，供应商应当按照要求在苏采云系统提交“磋商响应函”并加盖CA电子公章。</w:t>
      </w:r>
      <w:r/>
    </w:p>
    <w:p>
      <w:pPr>
        <w:ind w:firstLine="480"/>
        <w:spacing w:line="520" w:lineRule="exact"/>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ind w:firstLine="480"/>
        <w:spacing w:line="520" w:lineRule="exact"/>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27.1.2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r/>
    </w:p>
    <w:p>
      <w:pPr>
        <w:ind w:firstLine="477"/>
        <w:spacing w:line="520" w:lineRule="exact"/>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r/>
    </w:p>
    <w:p>
      <w:pPr>
        <w:ind w:firstLine="480"/>
        <w:spacing w:line="520" w:lineRule="exact"/>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最后报价是供应商响应文件的有效组成部分。符合《政府采购竞争性磋商</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式理暂行办法》第三条第一款第四项及《财政部关于竞争性磋商</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式管理暂行办法有关问题的补充通知》（财库[2015]124号）规定情形的，提交最后报价的供应商可以为2家。</w:t>
      </w:r>
      <w:r/>
    </w:p>
    <w:p>
      <w:pPr>
        <w:ind w:firstLine="477"/>
        <w:spacing w:line="520" w:lineRule="exact"/>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szCs w:val="24"/>
          <w:highlight w:val="none"/>
        </w:rPr>
        <w:t xml:space="preserve">27.1.3供应商未在磋商小组规定的时间内在苏采云系统中提交最后报价的视为放弃磋商，其响应文件按无效响应处理。在提交最后报价之前，可以根据磋商情况退出磋商，并在苏采云系统中提交“退出磋商函”并加盖CA电子公章。</w:t>
      </w:r>
      <w:r>
        <w:rPr>
          <w:rFonts w:hint="eastAsia" w:ascii="宋体" w:hAnsi="宋体" w:eastAsia="宋体" w:cs="宋体"/>
          <w:color w:val="auto"/>
          <w:sz w:val="24"/>
          <w:highlight w:val="none"/>
        </w:rPr>
        <w:t xml:space="preserve">因供应商原因导致未提交最后报价或供应商退出磋商的，磋商小组应将其作为无效标处理。最后报价是供应商响应文件的有效组成部分。</w:t>
      </w:r>
      <w:r/>
    </w:p>
    <w:p>
      <w:pPr>
        <w:ind w:firstLine="480"/>
        <w:spacing w:line="480" w:lineRule="exact"/>
        <w:tabs>
          <w:tab w:val="left" w:pos="900" w:leader="none"/>
        </w:tabs>
        <w:rPr>
          <w:rFonts w:hint="eastAsia" w:ascii="宋体" w:hAnsi="宋体" w:eastAsia="宋体" w:cs="宋体"/>
          <w:b/>
          <w:color w:val="auto"/>
          <w:sz w:val="24"/>
          <w:highlight w:val="none"/>
        </w:rPr>
      </w:pPr>
      <w:r>
        <w:rPr>
          <w:rFonts w:hint="eastAsia" w:ascii="宋体" w:hAnsi="宋体" w:eastAsia="宋体" w:cs="宋体"/>
          <w:color w:val="auto"/>
          <w:sz w:val="24"/>
          <w:highlight w:val="none"/>
          <w:lang w:val="en-US" w:eastAsia="zh-CN"/>
        </w:rPr>
        <w:t xml:space="preserve">27.1.4</w:t>
      </w:r>
      <w:r>
        <w:rPr>
          <w:rFonts w:hint="eastAsia" w:ascii="宋体" w:hAnsi="宋体" w:eastAsia="宋体" w:cs="宋体"/>
          <w:b/>
          <w:color w:val="auto"/>
          <w:sz w:val="24"/>
          <w:highlight w:val="none"/>
        </w:rPr>
        <w:t xml:space="preserve">最后报价在“苏采云”系统内进行，供应商应使用内含电子印章（企业公章、法定代表人或授权代表签章）的CA证书在平台设定的时限内进行最后报价。报价所需的计算机设备和网络由供应商自行准备。除因系统故障导致所有供应商均不能报价情形外，本项目不接受纸质的报价文件。</w:t>
      </w:r>
      <w:r/>
    </w:p>
    <w:p>
      <w:pPr>
        <w:ind w:firstLine="480"/>
        <w:spacing w:line="480" w:lineRule="exact"/>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highlight w:val="none"/>
          <w:lang w:val="en-US" w:eastAsia="zh-CN"/>
        </w:rPr>
        <w:t xml:space="preserve">27.1.5</w:t>
      </w:r>
      <w:r>
        <w:rPr>
          <w:rFonts w:hint="eastAsia" w:ascii="宋体" w:hAnsi="宋体" w:eastAsia="宋体" w:cs="宋体"/>
          <w:color w:val="auto"/>
          <w:sz w:val="24"/>
          <w:highlight w:val="none"/>
        </w:rPr>
        <w:t xml:space="preserve">供应商在首次响应文件中的报价为首次报价。最后报价是供应商响应文件的有效组成部分。最后报价时如磋商小组未要求分项报价的，供应商各分项报价按首次报价（总价）与最后报价（总价）比例进行同比调整。</w:t>
      </w:r>
      <w:r/>
    </w:p>
    <w:p>
      <w:pPr>
        <w:ind w:firstLine="480"/>
        <w:spacing w:line="480" w:lineRule="exact"/>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27.1.6</w:t>
      </w:r>
      <w:r>
        <w:rPr>
          <w:rFonts w:hint="eastAsia" w:ascii="宋体" w:hAnsi="宋体" w:eastAsia="宋体" w:cs="宋体"/>
          <w:color w:val="auto"/>
          <w:sz w:val="24"/>
          <w:highlight w:val="none"/>
          <w:lang w:eastAsia="zh-CN"/>
        </w:rPr>
        <w:t xml:space="preserve">报价一览表</w:t>
      </w:r>
      <w:r>
        <w:rPr>
          <w:rFonts w:hint="eastAsia" w:ascii="宋体" w:hAnsi="宋体" w:eastAsia="宋体" w:cs="宋体"/>
          <w:color w:val="auto"/>
          <w:sz w:val="24"/>
          <w:highlight w:val="none"/>
        </w:rPr>
        <w:t xml:space="preserve">中大、小写应一致，如出现不一致情况的，以大写为准。</w:t>
      </w:r>
      <w:r>
        <w:rPr>
          <w:rFonts w:hint="eastAsia" w:ascii="宋体" w:hAnsi="宋体" w:eastAsia="宋体" w:cs="宋体"/>
          <w:color w:val="auto"/>
          <w:sz w:val="24"/>
          <w:highlight w:val="none"/>
          <w:lang w:eastAsia="zh-CN"/>
        </w:rPr>
        <w:t xml:space="preserve">报价一览表</w:t>
      </w:r>
      <w:r>
        <w:rPr>
          <w:rFonts w:hint="eastAsia" w:ascii="宋体" w:hAnsi="宋体" w:eastAsia="宋体" w:cs="宋体"/>
          <w:color w:val="auto"/>
          <w:sz w:val="24"/>
          <w:highlight w:val="none"/>
        </w:rPr>
        <w:t xml:space="preserve">内容与分项报价表内容应一致。如出现不一致情况，以</w:t>
      </w:r>
      <w:r>
        <w:rPr>
          <w:rFonts w:hint="eastAsia" w:ascii="宋体" w:hAnsi="宋体" w:eastAsia="宋体" w:cs="宋体"/>
          <w:color w:val="auto"/>
          <w:sz w:val="24"/>
          <w:highlight w:val="none"/>
          <w:lang w:eastAsia="zh-CN"/>
        </w:rPr>
        <w:t xml:space="preserve">报价一览表</w:t>
      </w:r>
      <w:r>
        <w:rPr>
          <w:rFonts w:hint="eastAsia" w:ascii="宋体" w:hAnsi="宋体" w:eastAsia="宋体" w:cs="宋体"/>
          <w:color w:val="auto"/>
          <w:sz w:val="24"/>
          <w:highlight w:val="none"/>
        </w:rPr>
        <w:t xml:space="preserve">内容为准，修正分项报价表。</w:t>
      </w:r>
      <w:r/>
    </w:p>
    <w:p>
      <w:pPr>
        <w:ind w:firstLine="480"/>
        <w:spacing w:line="480" w:lineRule="exact"/>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27.1.7</w:t>
      </w:r>
      <w:r>
        <w:rPr>
          <w:rFonts w:hint="eastAsia" w:ascii="宋体" w:hAnsi="宋体" w:eastAsia="宋体" w:cs="宋体"/>
          <w:color w:val="auto"/>
          <w:sz w:val="24"/>
          <w:highlight w:val="none"/>
        </w:rPr>
        <w:t xml:space="preserve">项目评审中，不得去掉最后报价中的最高报价和最低报价。</w:t>
      </w:r>
      <w:r/>
    </w:p>
    <w:p>
      <w:pPr>
        <w:ind w:firstLine="482"/>
        <w:spacing w:line="480" w:lineRule="exact"/>
        <w:rPr>
          <w:rFonts w:hint="eastAsia" w:ascii="宋体" w:hAnsi="宋体" w:eastAsia="宋体" w:cs="宋体"/>
          <w:b/>
          <w:bCs/>
          <w:color w:val="auto"/>
          <w:sz w:val="24"/>
          <w:highlight w:val="none"/>
        </w:rPr>
      </w:pPr>
      <w:r/>
      <w:bookmarkStart w:id="167" w:name="_Hlk204074773"/>
      <w:r>
        <w:rPr>
          <w:rFonts w:hint="eastAsia" w:ascii="宋体" w:hAnsi="宋体" w:eastAsia="宋体" w:cs="宋体"/>
          <w:b/>
          <w:bCs/>
          <w:color w:val="auto"/>
          <w:sz w:val="24"/>
          <w:szCs w:val="24"/>
          <w:highlight w:val="none"/>
          <w:lang w:val="en-US" w:eastAsia="zh-CN"/>
        </w:rPr>
        <w:t xml:space="preserve">27.2</w:t>
      </w:r>
      <w:r>
        <w:rPr>
          <w:rFonts w:hint="eastAsia" w:ascii="宋体" w:hAnsi="宋体" w:eastAsia="宋体" w:cs="宋体"/>
          <w:b/>
          <w:bCs/>
          <w:color w:val="auto"/>
          <w:sz w:val="24"/>
          <w:highlight w:val="none"/>
        </w:rPr>
        <w:t xml:space="preserve">异常低价响应审查</w:t>
      </w:r>
      <w:r/>
    </w:p>
    <w:p>
      <w:pPr>
        <w:ind w:firstLine="480"/>
        <w:keepLines w:val="0"/>
        <w:keepNext w:val="0"/>
        <w:pageBreakBefore w:val="0"/>
        <w:spacing w:line="500" w:lineRule="exact"/>
        <w:widowControl w:val="off"/>
        <w:rPr>
          <w:rFonts w:hint="eastAsia" w:ascii="宋体" w:hAnsi="宋体" w:eastAsia="宋体" w:cs="宋体"/>
          <w:color w:val="auto"/>
          <w:sz w:val="24"/>
          <w:szCs w:val="32"/>
          <w:highlight w:val="none"/>
        </w:rPr>
      </w:pPr>
      <w:r>
        <w:rPr>
          <w:rFonts w:hint="eastAsia" w:ascii="宋体" w:hAnsi="宋体" w:eastAsia="宋体" w:cs="宋体"/>
          <w:color w:val="auto"/>
          <w:sz w:val="24"/>
          <w:szCs w:val="24"/>
          <w:highlight w:val="none"/>
          <w:lang w:val="en-US" w:eastAsia="zh-CN"/>
        </w:rPr>
        <w:t xml:space="preserve">27.2</w:t>
      </w:r>
      <w:r>
        <w:rPr>
          <w:rFonts w:hint="eastAsia" w:ascii="宋体" w:hAnsi="宋体" w:eastAsia="宋体" w:cs="宋体"/>
          <w:color w:val="auto"/>
          <w:sz w:val="24"/>
          <w:highlight w:val="none"/>
        </w:rPr>
        <w:t xml:space="preserve">.1</w:t>
      </w:r>
      <w:bookmarkEnd w:id="167"/>
      <w:r>
        <w:rPr>
          <w:rFonts w:hint="eastAsia" w:ascii="宋体" w:hAnsi="宋体" w:eastAsia="宋体" w:cs="宋体"/>
          <w:color w:val="auto"/>
          <w:sz w:val="24"/>
          <w:szCs w:val="32"/>
          <w:highlight w:val="none"/>
          <w:lang w:val="en-US" w:eastAsia="zh-CN"/>
        </w:rPr>
        <w:t xml:space="preserve">评审过程中出现下列情形之一的，磋商小组应当启动异常低价响应审查程序：</w:t>
      </w:r>
      <w:r/>
    </w:p>
    <w:p>
      <w:pPr>
        <w:ind w:firstLine="480"/>
        <w:keepLines w:val="0"/>
        <w:keepNext w:val="0"/>
        <w:pageBreakBefore w:val="0"/>
        <w:spacing w:line="500" w:lineRule="exact"/>
        <w:widowControl w:val="off"/>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lang w:val="en-US" w:eastAsia="zh-CN"/>
        </w:rPr>
        <w:t xml:space="preserve">（1）</w:t>
      </w:r>
      <w:r>
        <w:rPr>
          <w:rFonts w:hint="eastAsia" w:ascii="宋体" w:hAnsi="宋体" w:eastAsia="宋体" w:cs="宋体"/>
          <w:color w:val="auto"/>
          <w:sz w:val="24"/>
          <w:szCs w:val="32"/>
          <w:highlight w:val="none"/>
          <w:lang w:eastAsia="zh-CN"/>
        </w:rPr>
        <w:t xml:space="preserve">磋商报价</w:t>
      </w:r>
      <w:r>
        <w:rPr>
          <w:rFonts w:hint="eastAsia" w:ascii="宋体" w:hAnsi="宋体" w:eastAsia="宋体" w:cs="宋体"/>
          <w:color w:val="auto"/>
          <w:sz w:val="24"/>
          <w:szCs w:val="32"/>
          <w:highlight w:val="none"/>
        </w:rPr>
        <w:t xml:space="preserve">低于全部通过符合性审查供应商</w:t>
      </w:r>
      <w:r>
        <w:rPr>
          <w:rFonts w:hint="eastAsia" w:ascii="宋体" w:hAnsi="宋体" w:eastAsia="宋体" w:cs="宋体"/>
          <w:color w:val="auto"/>
          <w:sz w:val="24"/>
          <w:szCs w:val="32"/>
          <w:highlight w:val="none"/>
          <w:lang w:eastAsia="zh-CN"/>
        </w:rPr>
        <w:t xml:space="preserve">磋商报价</w:t>
      </w:r>
      <w:r>
        <w:rPr>
          <w:rFonts w:hint="eastAsia" w:ascii="宋体" w:hAnsi="宋体" w:eastAsia="宋体" w:cs="宋体"/>
          <w:color w:val="auto"/>
          <w:sz w:val="24"/>
          <w:szCs w:val="32"/>
          <w:highlight w:val="none"/>
        </w:rPr>
        <w:t xml:space="preserve">平均值50%的，即</w:t>
      </w:r>
      <w:r>
        <w:rPr>
          <w:rFonts w:hint="eastAsia" w:ascii="宋体" w:hAnsi="宋体" w:eastAsia="宋体" w:cs="宋体"/>
          <w:color w:val="auto"/>
          <w:sz w:val="24"/>
          <w:szCs w:val="32"/>
          <w:highlight w:val="none"/>
          <w:lang w:eastAsia="zh-CN"/>
        </w:rPr>
        <w:t xml:space="preserve">磋商报价</w:t>
      </w:r>
      <w:r>
        <w:rPr>
          <w:rFonts w:hint="eastAsia" w:ascii="宋体" w:hAnsi="宋体" w:eastAsia="宋体" w:cs="宋体"/>
          <w:color w:val="auto"/>
          <w:sz w:val="24"/>
          <w:szCs w:val="32"/>
          <w:highlight w:val="none"/>
        </w:rPr>
        <w:t xml:space="preserve">〈全部通过符合性审查供应商</w:t>
      </w:r>
      <w:r>
        <w:rPr>
          <w:rFonts w:hint="eastAsia" w:ascii="宋体" w:hAnsi="宋体" w:eastAsia="宋体" w:cs="宋体"/>
          <w:color w:val="auto"/>
          <w:sz w:val="24"/>
          <w:szCs w:val="32"/>
          <w:highlight w:val="none"/>
          <w:lang w:eastAsia="zh-CN"/>
        </w:rPr>
        <w:t xml:space="preserve">磋商报价</w:t>
      </w:r>
      <w:r>
        <w:rPr>
          <w:rFonts w:hint="eastAsia" w:ascii="宋体" w:hAnsi="宋体" w:eastAsia="宋体" w:cs="宋体"/>
          <w:color w:val="auto"/>
          <w:sz w:val="24"/>
          <w:szCs w:val="32"/>
          <w:highlight w:val="none"/>
        </w:rPr>
        <w:t xml:space="preserve">平均值×50%;</w:t>
      </w:r>
      <w:r/>
    </w:p>
    <w:p>
      <w:pPr>
        <w:ind w:firstLine="480"/>
        <w:keepLines w:val="0"/>
        <w:keepNext w:val="0"/>
        <w:pageBreakBefore w:val="0"/>
        <w:spacing w:line="500" w:lineRule="exact"/>
        <w:widowControl w:val="off"/>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lang w:eastAsia="zh-CN"/>
        </w:rPr>
        <w:t xml:space="preserve">（</w:t>
      </w:r>
      <w:r>
        <w:rPr>
          <w:rFonts w:hint="eastAsia" w:ascii="宋体" w:hAnsi="宋体" w:eastAsia="宋体" w:cs="宋体"/>
          <w:color w:val="auto"/>
          <w:sz w:val="24"/>
          <w:szCs w:val="32"/>
          <w:highlight w:val="none"/>
          <w:lang w:val="en-US" w:eastAsia="zh-CN"/>
        </w:rPr>
        <w:t xml:space="preserve">2</w:t>
      </w:r>
      <w:r>
        <w:rPr>
          <w:rFonts w:hint="eastAsia" w:ascii="宋体" w:hAnsi="宋体" w:eastAsia="宋体" w:cs="宋体"/>
          <w:color w:val="auto"/>
          <w:sz w:val="24"/>
          <w:szCs w:val="32"/>
          <w:highlight w:val="none"/>
          <w:lang w:eastAsia="zh-CN"/>
        </w:rPr>
        <w:t xml:space="preserve">）磋商报价</w:t>
      </w:r>
      <w:r>
        <w:rPr>
          <w:rFonts w:hint="eastAsia" w:ascii="宋体" w:hAnsi="宋体" w:eastAsia="宋体" w:cs="宋体"/>
          <w:color w:val="auto"/>
          <w:sz w:val="24"/>
          <w:szCs w:val="32"/>
          <w:highlight w:val="none"/>
        </w:rPr>
        <w:t xml:space="preserve">低于通过符合性审查的次低报价供应商投标(响应)报价50%的，即</w:t>
      </w:r>
      <w:r>
        <w:rPr>
          <w:rFonts w:hint="eastAsia" w:ascii="宋体" w:hAnsi="宋体" w:eastAsia="宋体" w:cs="宋体"/>
          <w:color w:val="auto"/>
          <w:sz w:val="24"/>
          <w:szCs w:val="32"/>
          <w:highlight w:val="none"/>
          <w:lang w:eastAsia="zh-CN"/>
        </w:rPr>
        <w:t xml:space="preserve">磋商报价</w:t>
      </w:r>
      <w:r>
        <w:rPr>
          <w:rFonts w:hint="eastAsia" w:ascii="宋体" w:hAnsi="宋体" w:eastAsia="宋体" w:cs="宋体"/>
          <w:color w:val="auto"/>
          <w:sz w:val="24"/>
          <w:szCs w:val="32"/>
          <w:highlight w:val="none"/>
        </w:rPr>
        <w:t xml:space="preserve">〈通过符合性审查的次低报价供应商</w:t>
      </w:r>
      <w:r>
        <w:rPr>
          <w:rFonts w:hint="eastAsia" w:ascii="宋体" w:hAnsi="宋体" w:eastAsia="宋体" w:cs="宋体"/>
          <w:color w:val="auto"/>
          <w:sz w:val="24"/>
          <w:szCs w:val="32"/>
          <w:highlight w:val="none"/>
          <w:lang w:eastAsia="zh-CN"/>
        </w:rPr>
        <w:t xml:space="preserve">磋商报价</w:t>
      </w:r>
      <w:r>
        <w:rPr>
          <w:rFonts w:hint="eastAsia" w:ascii="宋体" w:hAnsi="宋体" w:eastAsia="宋体" w:cs="宋体"/>
          <w:color w:val="auto"/>
          <w:sz w:val="24"/>
          <w:szCs w:val="32"/>
          <w:highlight w:val="none"/>
        </w:rPr>
        <w:t xml:space="preserve">×50%;</w:t>
      </w:r>
      <w:r/>
    </w:p>
    <w:p>
      <w:pPr>
        <w:ind w:firstLine="480"/>
        <w:keepLines w:val="0"/>
        <w:keepNext w:val="0"/>
        <w:pageBreakBefore w:val="0"/>
        <w:spacing w:line="500" w:lineRule="exact"/>
        <w:widowControl w:val="off"/>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lang w:eastAsia="zh-CN"/>
        </w:rPr>
        <w:t xml:space="preserve">（</w:t>
      </w:r>
      <w:r>
        <w:rPr>
          <w:rFonts w:hint="eastAsia" w:ascii="宋体" w:hAnsi="宋体" w:eastAsia="宋体" w:cs="宋体"/>
          <w:color w:val="auto"/>
          <w:sz w:val="24"/>
          <w:szCs w:val="32"/>
          <w:highlight w:val="none"/>
          <w:lang w:val="en-US" w:eastAsia="zh-CN"/>
        </w:rPr>
        <w:t xml:space="preserve">3</w:t>
      </w:r>
      <w:r>
        <w:rPr>
          <w:rFonts w:hint="eastAsia" w:ascii="宋体" w:hAnsi="宋体" w:eastAsia="宋体" w:cs="宋体"/>
          <w:color w:val="auto"/>
          <w:sz w:val="24"/>
          <w:szCs w:val="32"/>
          <w:highlight w:val="none"/>
          <w:lang w:eastAsia="zh-CN"/>
        </w:rPr>
        <w:t xml:space="preserve">）磋商报价</w:t>
      </w:r>
      <w:r>
        <w:rPr>
          <w:rFonts w:hint="eastAsia" w:ascii="宋体" w:hAnsi="宋体" w:eastAsia="宋体" w:cs="宋体"/>
          <w:color w:val="auto"/>
          <w:sz w:val="24"/>
          <w:szCs w:val="32"/>
          <w:highlight w:val="none"/>
        </w:rPr>
        <w:t xml:space="preserve">低于采购项目最高限价45%的，即</w:t>
      </w:r>
      <w:r>
        <w:rPr>
          <w:rFonts w:hint="eastAsia" w:ascii="宋体" w:hAnsi="宋体" w:eastAsia="宋体" w:cs="宋体"/>
          <w:color w:val="auto"/>
          <w:sz w:val="24"/>
          <w:szCs w:val="32"/>
          <w:highlight w:val="none"/>
          <w:lang w:eastAsia="zh-CN"/>
        </w:rPr>
        <w:t xml:space="preserve">磋商报价</w:t>
      </w:r>
      <w:r>
        <w:rPr>
          <w:rFonts w:hint="eastAsia" w:ascii="宋体" w:hAnsi="宋体" w:eastAsia="宋体" w:cs="宋体"/>
          <w:color w:val="auto"/>
          <w:sz w:val="24"/>
          <w:szCs w:val="32"/>
          <w:highlight w:val="none"/>
        </w:rPr>
        <w:t xml:space="preserve">＜采购项目最高限价×45%;</w:t>
      </w:r>
      <w:r/>
    </w:p>
    <w:p>
      <w:pPr>
        <w:ind w:firstLine="480"/>
        <w:keepLines w:val="0"/>
        <w:keepNext w:val="0"/>
        <w:pageBreakBefore w:val="0"/>
        <w:spacing w:line="500" w:lineRule="exact"/>
        <w:widowControl w:val="off"/>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lang w:eastAsia="zh-CN"/>
        </w:rPr>
        <w:t xml:space="preserve">（</w:t>
      </w:r>
      <w:r>
        <w:rPr>
          <w:rFonts w:hint="eastAsia" w:ascii="宋体" w:hAnsi="宋体" w:eastAsia="宋体" w:cs="宋体"/>
          <w:color w:val="auto"/>
          <w:sz w:val="24"/>
          <w:szCs w:val="32"/>
          <w:highlight w:val="none"/>
          <w:lang w:val="en-US" w:eastAsia="zh-CN"/>
        </w:rPr>
        <w:t xml:space="preserve">4</w:t>
      </w:r>
      <w:r>
        <w:rPr>
          <w:rFonts w:hint="eastAsia" w:ascii="宋体" w:hAnsi="宋体" w:eastAsia="宋体" w:cs="宋体"/>
          <w:color w:val="auto"/>
          <w:sz w:val="24"/>
          <w:szCs w:val="32"/>
          <w:highlight w:val="none"/>
          <w:lang w:eastAsia="zh-CN"/>
        </w:rPr>
        <w:t xml:space="preserve">）</w:t>
      </w:r>
      <w:r>
        <w:rPr>
          <w:rFonts w:hint="eastAsia" w:ascii="宋体" w:hAnsi="宋体" w:eastAsia="宋体" w:cs="宋体"/>
          <w:color w:val="auto"/>
          <w:sz w:val="24"/>
          <w:szCs w:val="32"/>
          <w:highlight w:val="none"/>
          <w:lang w:val="en-US" w:eastAsia="zh-CN"/>
        </w:rPr>
        <w:t xml:space="preserve">磋商小组</w:t>
      </w:r>
      <w:r>
        <w:rPr>
          <w:rFonts w:hint="eastAsia" w:ascii="宋体" w:hAnsi="宋体" w:eastAsia="宋体" w:cs="宋体"/>
          <w:color w:val="auto"/>
          <w:sz w:val="24"/>
          <w:szCs w:val="32"/>
          <w:highlight w:val="none"/>
        </w:rPr>
        <w:t xml:space="preserve">基于专业判断，认为供应商报价过低，有可能影响产品质量或者不能诚信履约的其他情形。</w:t>
      </w:r>
      <w:r/>
    </w:p>
    <w:p>
      <w:pPr>
        <w:ind w:firstLine="480"/>
        <w:keepLines w:val="0"/>
        <w:keepNext w:val="0"/>
        <w:pageBreakBefore w:val="0"/>
        <w:spacing w:line="500" w:lineRule="exact"/>
        <w:widowControl w:val="off"/>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lang w:val="en-US" w:eastAsia="zh-CN"/>
        </w:rPr>
        <w:t xml:space="preserve">磋商小组</w:t>
      </w:r>
      <w:r>
        <w:rPr>
          <w:rFonts w:hint="eastAsia" w:ascii="宋体" w:hAnsi="宋体" w:eastAsia="宋体" w:cs="宋体"/>
          <w:color w:val="auto"/>
          <w:sz w:val="24"/>
          <w:szCs w:val="32"/>
          <w:highlight w:val="none"/>
        </w:rPr>
        <w:t xml:space="preserve">启动异常低价响应审查后，属于前述第1项至第4项情形的，应当要求相关供应商在评审现场合理的时间内对响应价格作出解释，提供项目具体成本测算等与报价合理性相关的书面说明及必要的证明材料，包括但不限于原材料成本，人工成本，制造费用等，给予相关供应商的合理时间一般不少于30分钟。其中，属于第3项情形，供应商已随响应文件一并提交相关书面说明及必要的证明材料的，在评审现场可不再重复提交。</w:t>
      </w:r>
      <w:r/>
    </w:p>
    <w:p>
      <w:pPr>
        <w:ind w:firstLine="480"/>
        <w:keepLines w:val="0"/>
        <w:keepNext w:val="0"/>
        <w:pageBreakBefore w:val="0"/>
        <w:spacing w:line="500" w:lineRule="exact"/>
        <w:widowControl w:val="off"/>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lang w:val="en-US" w:eastAsia="zh-CN"/>
        </w:rPr>
        <w:t xml:space="preserve">磋商小组</w:t>
      </w:r>
      <w:r>
        <w:rPr>
          <w:rFonts w:hint="eastAsia" w:ascii="宋体" w:hAnsi="宋体" w:eastAsia="宋体" w:cs="宋体"/>
          <w:color w:val="auto"/>
          <w:sz w:val="24"/>
          <w:szCs w:val="32"/>
          <w:highlight w:val="none"/>
        </w:rPr>
        <w:t xml:space="preserve">依据专业经验，参考同类项目中标(成交)价格，类似产品市场价格水平，行业人工费用标准，国家有关部门指导行业协会发布的行业平均成本等情况，对报价合理性进行判断。响应供应商不能提供书面说明，证明材料，或者提供的书面说明，证明材料不能证明其报价合理性的，</w:t>
      </w:r>
      <w:r>
        <w:rPr>
          <w:rFonts w:hint="eastAsia" w:ascii="宋体" w:hAnsi="宋体" w:eastAsia="宋体" w:cs="宋体"/>
          <w:color w:val="auto"/>
          <w:sz w:val="24"/>
          <w:szCs w:val="32"/>
          <w:highlight w:val="none"/>
          <w:lang w:val="en-US" w:eastAsia="zh-CN"/>
        </w:rPr>
        <w:t xml:space="preserve">磋商小组</w:t>
      </w:r>
      <w:r>
        <w:rPr>
          <w:rFonts w:hint="eastAsia" w:ascii="宋体" w:hAnsi="宋体" w:eastAsia="宋体" w:cs="宋体"/>
          <w:color w:val="auto"/>
          <w:sz w:val="24"/>
          <w:szCs w:val="32"/>
          <w:highlight w:val="none"/>
        </w:rPr>
        <w:t xml:space="preserve">应当将其作为无效响应处理。</w:t>
      </w:r>
      <w:r/>
    </w:p>
    <w:p>
      <w:pPr>
        <w:ind w:firstLine="480"/>
        <w:spacing w:line="480" w:lineRule="exact"/>
        <w:rPr>
          <w:rFonts w:hint="eastAsia" w:ascii="宋体" w:hAnsi="宋体" w:eastAsia="宋体" w:cs="宋体"/>
          <w:bCs/>
          <w:color w:val="auto"/>
          <w:sz w:val="24"/>
          <w:szCs w:val="21"/>
          <w:highlight w:val="none"/>
        </w:rPr>
      </w:pPr>
      <w:r>
        <w:rPr>
          <w:rFonts w:hint="eastAsia" w:ascii="宋体" w:hAnsi="宋体" w:eastAsia="宋体" w:cs="宋体"/>
          <w:color w:val="auto"/>
          <w:sz w:val="24"/>
          <w:szCs w:val="32"/>
          <w:highlight w:val="none"/>
        </w:rPr>
        <w:t xml:space="preserve">异常低价投标(响应)审查的启动原因，审查意见和审查结果应当在评审报告中记录，并</w:t>
      </w:r>
      <w:r>
        <w:rPr>
          <w:rFonts w:hint="eastAsia" w:ascii="宋体" w:hAnsi="宋体" w:eastAsia="宋体" w:cs="宋体"/>
          <w:color w:val="auto"/>
          <w:sz w:val="24"/>
          <w:szCs w:val="32"/>
          <w:highlight w:val="none"/>
          <w:lang w:val="en-US" w:eastAsia="zh-CN"/>
        </w:rPr>
        <w:t xml:space="preserve">附</w:t>
      </w:r>
      <w:r>
        <w:rPr>
          <w:rFonts w:hint="eastAsia" w:ascii="宋体" w:hAnsi="宋体" w:eastAsia="宋体" w:cs="宋体"/>
          <w:color w:val="auto"/>
          <w:sz w:val="24"/>
          <w:szCs w:val="32"/>
          <w:highlight w:val="none"/>
        </w:rPr>
        <w:t xml:space="preserve">供应商提供的相关书面说明及证明材料，以及</w:t>
      </w:r>
      <w:r>
        <w:rPr>
          <w:rFonts w:hint="eastAsia" w:ascii="宋体" w:hAnsi="宋体" w:eastAsia="宋体" w:cs="宋体"/>
          <w:color w:val="auto"/>
          <w:sz w:val="24"/>
          <w:szCs w:val="32"/>
          <w:highlight w:val="none"/>
          <w:lang w:val="en-US" w:eastAsia="zh-CN"/>
        </w:rPr>
        <w:t xml:space="preserve">磋商小组</w:t>
      </w:r>
      <w:r>
        <w:rPr>
          <w:rFonts w:hint="eastAsia" w:ascii="宋体" w:hAnsi="宋体" w:eastAsia="宋体" w:cs="宋体"/>
          <w:color w:val="auto"/>
          <w:sz w:val="24"/>
          <w:szCs w:val="32"/>
          <w:highlight w:val="none"/>
        </w:rPr>
        <w:t xml:space="preserve">有关互联网浏览，查询历史一并归档。</w:t>
      </w:r>
      <w:r/>
    </w:p>
    <w:p>
      <w:pPr>
        <w:ind w:firstLine="477"/>
        <w:spacing w:line="520" w:lineRule="exact"/>
        <w:tabs>
          <w:tab w:val="left" w:pos="900"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27.</w:t>
      </w:r>
      <w:r>
        <w:rPr>
          <w:rFonts w:hint="eastAsia" w:ascii="宋体" w:hAnsi="宋体" w:eastAsia="宋体" w:cs="宋体"/>
          <w:b/>
          <w:bCs/>
          <w:color w:val="auto"/>
          <w:sz w:val="24"/>
          <w:szCs w:val="24"/>
          <w:highlight w:val="none"/>
          <w:lang w:val="en-US" w:eastAsia="zh-CN"/>
        </w:rPr>
        <w:t xml:space="preserve">3</w:t>
      </w:r>
      <w:r>
        <w:rPr>
          <w:rFonts w:hint="eastAsia" w:ascii="宋体" w:hAnsi="宋体" w:eastAsia="宋体" w:cs="宋体"/>
          <w:b/>
          <w:bCs/>
          <w:color w:val="auto"/>
          <w:sz w:val="24"/>
          <w:szCs w:val="24"/>
          <w:highlight w:val="none"/>
        </w:rPr>
        <w:t xml:space="preserve">评审方法和评审标准</w:t>
      </w:r>
      <w:r/>
    </w:p>
    <w:p>
      <w:pPr>
        <w:ind w:firstLine="477"/>
        <w:spacing w:line="520" w:lineRule="exact"/>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.1评审方法。经磋商确定最终采购需求和提交最后报价的供应商后，由磋商小组采用综合评分法对提交最后报价的供应商的响应文件和最后报价进行综合评分。</w:t>
      </w:r>
      <w:r/>
    </w:p>
    <w:p>
      <w:pPr>
        <w:ind w:firstLine="477"/>
        <w:spacing w:line="520" w:lineRule="exact"/>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ind w:firstLine="477"/>
        <w:spacing w:line="520" w:lineRule="exact"/>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.2评审标准</w:t>
      </w:r>
      <w:r/>
    </w:p>
    <w:p>
      <w:pPr>
        <w:ind w:firstLine="477"/>
        <w:spacing w:line="520" w:lineRule="exact"/>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见本磋商文件第五章规定。</w:t>
      </w:r>
      <w:r/>
    </w:p>
    <w:p>
      <w:pPr>
        <w:ind w:firstLine="477"/>
        <w:spacing w:line="520" w:lineRule="exact"/>
        <w:tabs>
          <w:tab w:val="left" w:pos="900"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27.</w:t>
      </w:r>
      <w:r>
        <w:rPr>
          <w:rFonts w:hint="eastAsia" w:ascii="宋体" w:hAnsi="宋体" w:eastAsia="宋体" w:cs="宋体"/>
          <w:b/>
          <w:bCs/>
          <w:color w:val="auto"/>
          <w:sz w:val="24"/>
          <w:szCs w:val="24"/>
          <w:highlight w:val="none"/>
          <w:lang w:val="en-US" w:eastAsia="zh-CN"/>
        </w:rPr>
        <w:t xml:space="preserve">4</w:t>
      </w:r>
      <w:r>
        <w:rPr>
          <w:rFonts w:hint="eastAsia" w:ascii="宋体" w:hAnsi="宋体" w:eastAsia="宋体" w:cs="宋体"/>
          <w:b/>
          <w:bCs/>
          <w:color w:val="auto"/>
          <w:sz w:val="24"/>
          <w:szCs w:val="24"/>
          <w:highlight w:val="none"/>
        </w:rPr>
        <w:t xml:space="preserve">采购活动终止的情况</w:t>
      </w:r>
      <w:r/>
    </w:p>
    <w:p>
      <w:pPr>
        <w:ind w:firstLine="480"/>
        <w:spacing w:line="520" w:lineRule="exact"/>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出现下列情形之一的，本次竞争性磋商采购活动将被终止：</w:t>
      </w:r>
      <w:r/>
    </w:p>
    <w:p>
      <w:pPr>
        <w:ind w:firstLine="480"/>
        <w:spacing w:line="520" w:lineRule="exact"/>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.1因情况变化，不再符合规定的竞争性磋商</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式适用情形的。</w:t>
      </w:r>
      <w:r/>
    </w:p>
    <w:p>
      <w:pPr>
        <w:ind w:firstLine="480"/>
        <w:spacing w:line="520" w:lineRule="exact"/>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.2出现影响采购公正的违法、违规行为的。</w:t>
      </w:r>
      <w:r/>
    </w:p>
    <w:p>
      <w:pPr>
        <w:ind w:firstLine="480"/>
        <w:spacing w:line="520" w:lineRule="exact"/>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.3除本磋商文件第二章第27.1.2条第三款规定的情形外，在采购过程中符合要求的供应商或者最后报价未超过采购预算的供应商不足3家的。</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.4在苏采云系统规定时间内成功解密电子响应文件的供应商不足3家的。</w:t>
      </w:r>
      <w:r/>
    </w:p>
    <w:p>
      <w:pPr>
        <w:ind w:firstLine="480"/>
        <w:spacing w:line="50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27.</w:t>
      </w:r>
      <w:r>
        <w:rPr>
          <w:rFonts w:hint="eastAsia" w:ascii="宋体" w:hAnsi="宋体" w:eastAsia="宋体" w:cs="宋体"/>
          <w:bCs/>
          <w:color w:val="auto"/>
          <w:sz w:val="24"/>
          <w:highlight w:val="none"/>
          <w:lang w:val="en-US" w:eastAsia="zh-CN"/>
        </w:rPr>
        <w:t xml:space="preserve">4</w:t>
      </w:r>
      <w:r>
        <w:rPr>
          <w:rFonts w:hint="eastAsia" w:ascii="宋体" w:hAnsi="宋体" w:eastAsia="宋体" w:cs="宋体"/>
          <w:bCs/>
          <w:color w:val="auto"/>
          <w:sz w:val="24"/>
          <w:highlight w:val="none"/>
        </w:rPr>
        <w:t xml:space="preserve">.5评委会认定磋商文件存在歧义、重大缺陷导致评审工作无法进行。</w:t>
      </w:r>
      <w:r/>
    </w:p>
    <w:p>
      <w:pPr>
        <w:ind w:firstLine="480"/>
        <w:spacing w:line="50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27.</w:t>
      </w:r>
      <w:r>
        <w:rPr>
          <w:rFonts w:hint="eastAsia" w:ascii="宋体" w:hAnsi="宋体" w:eastAsia="宋体" w:cs="宋体"/>
          <w:bCs/>
          <w:color w:val="auto"/>
          <w:sz w:val="24"/>
          <w:highlight w:val="none"/>
          <w:lang w:val="en-US" w:eastAsia="zh-CN"/>
        </w:rPr>
        <w:t xml:space="preserve">4</w:t>
      </w:r>
      <w:r>
        <w:rPr>
          <w:rFonts w:hint="eastAsia" w:ascii="宋体" w:hAnsi="宋体" w:eastAsia="宋体" w:cs="宋体"/>
          <w:bCs/>
          <w:color w:val="auto"/>
          <w:sz w:val="24"/>
          <w:highlight w:val="none"/>
        </w:rPr>
        <w:t xml:space="preserve">.6因</w:t>
      </w:r>
      <w:r>
        <w:rPr>
          <w:rFonts w:hint="eastAsia" w:ascii="宋体" w:hAnsi="宋体" w:eastAsia="宋体" w:cs="宋体"/>
          <w:color w:val="auto"/>
          <w:sz w:val="24"/>
          <w:szCs w:val="24"/>
          <w:highlight w:val="none"/>
        </w:rPr>
        <w:t xml:space="preserve">“苏采云”系统</w:t>
      </w:r>
      <w:r>
        <w:rPr>
          <w:rFonts w:hint="eastAsia" w:ascii="宋体" w:hAnsi="宋体" w:eastAsia="宋体" w:cs="宋体"/>
          <w:bCs/>
          <w:color w:val="auto"/>
          <w:sz w:val="24"/>
          <w:highlight w:val="none"/>
        </w:rPr>
        <w:t xml:space="preserve">系统故障原因造成开标不成功的。</w:t>
      </w:r>
      <w:r/>
    </w:p>
    <w:p>
      <w:pPr>
        <w:keepLines/>
        <w:keepNext/>
        <w:spacing w:line="520" w:lineRule="exact"/>
        <w:rPr>
          <w:rFonts w:hint="eastAsia" w:ascii="宋体" w:hAnsi="宋体" w:eastAsia="宋体" w:cs="宋体"/>
          <w:b/>
          <w:bCs/>
          <w:color w:val="auto"/>
          <w:sz w:val="24"/>
          <w:szCs w:val="24"/>
          <w:highlight w:val="none"/>
        </w:rPr>
        <w:outlineLvl w:val="1"/>
      </w:pPr>
      <w:r/>
      <w:bookmarkStart w:id="168" w:name="_Toc120614219"/>
      <w:r/>
      <w:bookmarkStart w:id="169" w:name="_Toc20823307"/>
      <w:r/>
      <w:bookmarkStart w:id="170" w:name="_Toc513029235"/>
      <w:r/>
      <w:bookmarkStart w:id="171" w:name="_Toc16938551"/>
      <w:r/>
      <w:bookmarkStart w:id="172" w:name="_Toc29432"/>
      <w:r>
        <w:rPr>
          <w:rFonts w:hint="eastAsia" w:ascii="宋体" w:hAnsi="宋体" w:eastAsia="宋体" w:cs="宋体"/>
          <w:b/>
          <w:bCs/>
          <w:color w:val="auto"/>
          <w:sz w:val="24"/>
          <w:szCs w:val="24"/>
          <w:highlight w:val="none"/>
        </w:rPr>
        <w:t xml:space="preserve">六、</w:t>
      </w:r>
      <w:bookmarkEnd w:id="168"/>
      <w:r/>
      <w:bookmarkEnd w:id="169"/>
      <w:r/>
      <w:bookmarkEnd w:id="170"/>
      <w:r/>
      <w:bookmarkEnd w:id="171"/>
      <w:r>
        <w:rPr>
          <w:rFonts w:hint="eastAsia" w:ascii="宋体" w:hAnsi="宋体" w:eastAsia="宋体" w:cs="宋体"/>
          <w:b/>
          <w:bCs/>
          <w:color w:val="auto"/>
          <w:sz w:val="24"/>
          <w:szCs w:val="24"/>
          <w:highlight w:val="none"/>
        </w:rPr>
        <w:t xml:space="preserve">成交</w:t>
      </w:r>
      <w:bookmarkEnd w:id="172"/>
      <w:r/>
      <w:r/>
    </w:p>
    <w:p>
      <w:pPr>
        <w:ind w:firstLine="480"/>
        <w:keepLines/>
        <w:keepNext/>
        <w:spacing w:line="520" w:lineRule="exact"/>
        <w:rPr>
          <w:rFonts w:hint="eastAsia" w:ascii="宋体" w:hAnsi="宋体" w:eastAsia="宋体" w:cs="宋体"/>
          <w:bCs/>
          <w:color w:val="auto"/>
          <w:sz w:val="24"/>
          <w:szCs w:val="24"/>
          <w:highlight w:val="none"/>
        </w:rPr>
      </w:pPr>
      <w:r/>
      <w:bookmarkStart w:id="173" w:name="_Toc513029238"/>
      <w:r/>
      <w:bookmarkStart w:id="174" w:name="_Toc20823310"/>
      <w:r/>
      <w:bookmarkStart w:id="175" w:name="_Toc16938554"/>
      <w:r>
        <w:rPr>
          <w:rFonts w:hint="eastAsia" w:ascii="宋体" w:hAnsi="宋体" w:eastAsia="宋体" w:cs="宋体"/>
          <w:bCs/>
          <w:color w:val="auto"/>
          <w:sz w:val="24"/>
          <w:szCs w:val="24"/>
          <w:highlight w:val="none"/>
        </w:rPr>
        <w:t xml:space="preserve">28、</w:t>
      </w:r>
      <w:bookmarkEnd w:id="173"/>
      <w:r>
        <w:rPr>
          <w:rFonts w:hint="eastAsia" w:ascii="宋体" w:hAnsi="宋体" w:eastAsia="宋体" w:cs="宋体"/>
          <w:bCs/>
          <w:color w:val="auto"/>
          <w:sz w:val="24"/>
          <w:szCs w:val="24"/>
          <w:highlight w:val="none"/>
        </w:rPr>
        <w:t xml:space="preserve">确定</w:t>
      </w:r>
      <w:bookmarkEnd w:id="174"/>
      <w:r/>
      <w:bookmarkEnd w:id="175"/>
      <w:r>
        <w:rPr>
          <w:rFonts w:hint="eastAsia" w:ascii="宋体" w:hAnsi="宋体" w:eastAsia="宋体" w:cs="宋体"/>
          <w:bCs/>
          <w:color w:val="auto"/>
          <w:sz w:val="24"/>
          <w:szCs w:val="24"/>
          <w:highlight w:val="none"/>
        </w:rPr>
        <w:t xml:space="preserve">成交单位</w:t>
      </w:r>
      <w:r/>
    </w:p>
    <w:p>
      <w:pPr>
        <w:ind w:firstLine="477"/>
        <w:spacing w:line="520" w:lineRule="exact"/>
        <w:tabs>
          <w:tab w:val="left" w:pos="900" w:leader="none"/>
        </w:tabs>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28.1</w:t>
      </w:r>
      <w:r>
        <w:rPr>
          <w:rFonts w:hint="eastAsia" w:ascii="宋体" w:hAnsi="宋体" w:eastAsia="宋体" w:cs="宋体"/>
          <w:color w:val="auto"/>
          <w:sz w:val="24"/>
          <w:szCs w:val="24"/>
          <w:highlight w:val="none"/>
        </w:rPr>
        <w:t xml:space="preserve">磋商小组根据综合评分情况，按照评审得分由高到低顺序推荐3名成交候选供应商，并编写评审报告。符合本磋商文件第二章第27.1.2条情形的，可以推荐2名成交候选供应商。评审得分相同的，按照最后报价由低到高的顺序推荐。评审得分且最后报价相同的，按照技术指标优劣顺序推荐。</w:t>
      </w:r>
      <w:r/>
    </w:p>
    <w:p>
      <w:pPr>
        <w:ind w:firstLine="477"/>
        <w:spacing w:line="520" w:lineRule="exact"/>
        <w:tabs>
          <w:tab w:val="left" w:pos="90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提供相同品牌相同型号产品且通过资格审查、符合性审查的不同供应商参加同一合同项下响应的，按一家供应商计算，评审后得分最高的同品牌同型号供应商获得成交供应商推荐资格；评审得分相同的，由采购人或者采购人委托磋商小组按照磋商文件规定的方式确定一个供应商获得成交供应商推荐资格，磋商文件未规定的采取随机抽取方式确定，其他同品牌同型号供应商不作为成交候选人。</w:t>
      </w:r>
      <w:r/>
    </w:p>
    <w:p>
      <w:pPr>
        <w:ind w:firstLine="477"/>
        <w:spacing w:line="520" w:lineRule="exact"/>
        <w:tabs>
          <w:tab w:val="left" w:pos="90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28.2采购人从评审报告提出的成交候选供应商中，按照排序由高到低的原则确定成交供应商。</w:t>
      </w:r>
      <w:r/>
    </w:p>
    <w:p>
      <w:pPr>
        <w:ind w:firstLine="480"/>
        <w:spacing w:line="52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zh-CN"/>
        </w:rPr>
        <w:t xml:space="preserve">按以下第</w:t>
      </w:r>
      <w:r>
        <w:rPr>
          <w:rFonts w:hint="eastAsia" w:ascii="宋体" w:hAnsi="宋体" w:eastAsia="宋体" w:cs="宋体"/>
          <w:bCs/>
          <w:color w:val="auto"/>
          <w:sz w:val="24"/>
          <w:szCs w:val="24"/>
          <w:highlight w:val="none"/>
          <w:u w:val="single"/>
        </w:rPr>
        <w:t xml:space="preserve">2</w:t>
      </w:r>
      <w:r>
        <w:rPr>
          <w:rFonts w:hint="eastAsia" w:ascii="宋体" w:hAnsi="宋体" w:eastAsia="宋体" w:cs="宋体"/>
          <w:bCs/>
          <w:color w:val="auto"/>
          <w:sz w:val="24"/>
          <w:szCs w:val="24"/>
          <w:highlight w:val="none"/>
          <w:lang w:val="zh-CN"/>
        </w:rPr>
        <w:t xml:space="preserve">种方式确定成交供应商</w:t>
      </w:r>
      <w:r/>
    </w:p>
    <w:p>
      <w:pPr>
        <w:ind w:firstLine="480"/>
        <w:spacing w:line="52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zh-CN"/>
        </w:rPr>
        <w:t xml:space="preserve">（1）磋商小组直接确定排名第一的</w:t>
      </w:r>
      <w:r>
        <w:rPr>
          <w:rFonts w:hint="eastAsia" w:ascii="宋体" w:hAnsi="宋体" w:eastAsia="宋体" w:cs="宋体"/>
          <w:bCs/>
          <w:color w:val="auto"/>
          <w:sz w:val="24"/>
          <w:szCs w:val="24"/>
          <w:highlight w:val="none"/>
        </w:rPr>
        <w:t xml:space="preserve">成交候选供应商</w:t>
      </w:r>
      <w:r>
        <w:rPr>
          <w:rFonts w:hint="eastAsia" w:ascii="宋体" w:hAnsi="宋体" w:eastAsia="宋体" w:cs="宋体"/>
          <w:bCs/>
          <w:color w:val="auto"/>
          <w:sz w:val="24"/>
          <w:szCs w:val="24"/>
          <w:highlight w:val="none"/>
          <w:lang w:val="zh-CN"/>
        </w:rPr>
        <w:t xml:space="preserve">为成交供应商；</w:t>
      </w:r>
      <w:r/>
    </w:p>
    <w:p>
      <w:pPr>
        <w:ind w:firstLine="480"/>
        <w:spacing w:line="52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zh-CN"/>
        </w:rPr>
        <w:t xml:space="preserve">（2）采购人</w:t>
      </w:r>
      <w:r>
        <w:rPr>
          <w:rFonts w:hint="eastAsia" w:ascii="宋体" w:hAnsi="宋体" w:eastAsia="宋体" w:cs="宋体"/>
          <w:bCs/>
          <w:color w:val="auto"/>
          <w:sz w:val="24"/>
          <w:szCs w:val="24"/>
          <w:highlight w:val="none"/>
        </w:rPr>
        <w:t xml:space="preserve">从评审报告提出</w:t>
      </w:r>
      <w:r>
        <w:rPr>
          <w:rFonts w:hint="eastAsia" w:ascii="宋体" w:hAnsi="宋体" w:eastAsia="宋体" w:cs="宋体"/>
          <w:bCs/>
          <w:color w:val="auto"/>
          <w:sz w:val="24"/>
          <w:szCs w:val="24"/>
          <w:highlight w:val="none"/>
          <w:lang w:val="zh-CN"/>
        </w:rPr>
        <w:t xml:space="preserve">的</w:t>
      </w:r>
      <w:r>
        <w:rPr>
          <w:rFonts w:hint="eastAsia" w:ascii="宋体" w:hAnsi="宋体" w:eastAsia="宋体" w:cs="宋体"/>
          <w:bCs/>
          <w:color w:val="auto"/>
          <w:sz w:val="24"/>
          <w:szCs w:val="24"/>
          <w:highlight w:val="none"/>
        </w:rPr>
        <w:t xml:space="preserve">成交候选供应商</w:t>
      </w:r>
      <w:r>
        <w:rPr>
          <w:rFonts w:hint="eastAsia" w:ascii="宋体" w:hAnsi="宋体" w:eastAsia="宋体" w:cs="宋体"/>
          <w:bCs/>
          <w:color w:val="auto"/>
          <w:sz w:val="24"/>
          <w:szCs w:val="24"/>
          <w:highlight w:val="none"/>
          <w:lang w:val="zh-CN"/>
        </w:rPr>
        <w:t xml:space="preserve">中按顺序确定成交供应商。</w:t>
      </w:r>
      <w:r/>
    </w:p>
    <w:p>
      <w:pPr>
        <w:ind w:firstLine="477"/>
        <w:spacing w:line="520" w:lineRule="exact"/>
        <w:tabs>
          <w:tab w:val="left" w:pos="90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zh-CN"/>
        </w:rPr>
        <w:t xml:space="preserve">按第</w:t>
      </w:r>
      <w:r>
        <w:rPr>
          <w:rFonts w:hint="eastAsia" w:ascii="宋体" w:hAnsi="宋体" w:eastAsia="宋体" w:cs="宋体"/>
          <w:bCs/>
          <w:color w:val="auto"/>
          <w:sz w:val="24"/>
          <w:szCs w:val="24"/>
          <w:highlight w:val="none"/>
        </w:rPr>
        <w:t xml:space="preserve">2</w:t>
      </w:r>
      <w:r>
        <w:rPr>
          <w:rFonts w:hint="eastAsia" w:ascii="宋体" w:hAnsi="宋体" w:eastAsia="宋体" w:cs="宋体"/>
          <w:bCs/>
          <w:color w:val="auto"/>
          <w:sz w:val="24"/>
          <w:szCs w:val="24"/>
          <w:highlight w:val="none"/>
          <w:lang w:val="zh-CN"/>
        </w:rPr>
        <w:t xml:space="preserve">种方式确定成交供应商的，</w:t>
      </w:r>
      <w:r>
        <w:rPr>
          <w:rFonts w:hint="eastAsia" w:ascii="宋体" w:hAnsi="宋体" w:eastAsia="宋体" w:cs="宋体"/>
          <w:bCs/>
          <w:color w:val="auto"/>
          <w:sz w:val="24"/>
          <w:szCs w:val="24"/>
          <w:highlight w:val="none"/>
        </w:rPr>
        <w:t xml:space="preserve">采购代理机构</w:t>
      </w:r>
      <w:r>
        <w:rPr>
          <w:rFonts w:hint="eastAsia" w:ascii="宋体" w:hAnsi="宋体" w:eastAsia="宋体" w:cs="宋体"/>
          <w:bCs/>
          <w:color w:val="auto"/>
          <w:sz w:val="24"/>
          <w:szCs w:val="24"/>
          <w:highlight w:val="none"/>
          <w:lang w:val="zh-CN"/>
        </w:rPr>
        <w:t xml:space="preserve">自评审结束之日起两个工作日内将评审报告送交采购人，采购人自收到评审报告之日起五个工作日内在评审报告推荐的</w:t>
      </w:r>
      <w:r>
        <w:rPr>
          <w:rFonts w:hint="eastAsia" w:ascii="宋体" w:hAnsi="宋体" w:eastAsia="宋体" w:cs="宋体"/>
          <w:bCs/>
          <w:color w:val="auto"/>
          <w:sz w:val="24"/>
          <w:szCs w:val="24"/>
          <w:highlight w:val="none"/>
        </w:rPr>
        <w:t xml:space="preserve">成交候选供应商</w:t>
      </w:r>
      <w:r>
        <w:rPr>
          <w:rFonts w:hint="eastAsia" w:ascii="宋体" w:hAnsi="宋体" w:eastAsia="宋体" w:cs="宋体"/>
          <w:bCs/>
          <w:color w:val="auto"/>
          <w:sz w:val="24"/>
          <w:szCs w:val="24"/>
          <w:highlight w:val="none"/>
          <w:lang w:val="zh-CN"/>
        </w:rPr>
        <w:t xml:space="preserve">中按顺序确定成交供应商。</w:t>
      </w:r>
      <w:r/>
    </w:p>
    <w:p>
      <w:pPr>
        <w:ind w:firstLine="477"/>
        <w:spacing w:line="520" w:lineRule="exact"/>
        <w:tabs>
          <w:tab w:val="left" w:pos="90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28.3成交供应商确定后，采购代理机构将在</w:t>
      </w:r>
      <w:r>
        <w:rPr>
          <w:rFonts w:hint="eastAsia" w:ascii="宋体" w:hAnsi="宋体" w:eastAsia="宋体" w:cs="宋体"/>
          <w:color w:val="auto"/>
          <w:sz w:val="24"/>
          <w:highlight w:val="none"/>
        </w:rPr>
        <w:t xml:space="preserve">财政部门指定信息媒体上</w:t>
      </w:r>
      <w:r>
        <w:rPr>
          <w:rFonts w:hint="eastAsia" w:ascii="宋体" w:hAnsi="宋体" w:eastAsia="宋体" w:cs="宋体"/>
          <w:bCs/>
          <w:color w:val="auto"/>
          <w:sz w:val="24"/>
          <w:szCs w:val="24"/>
          <w:highlight w:val="none"/>
        </w:rPr>
        <w:t xml:space="preserve">发布成交结果公告，公告期限为1个工作日。</w:t>
      </w:r>
      <w:r/>
    </w:p>
    <w:p>
      <w:pPr>
        <w:ind w:firstLine="477"/>
        <w:spacing w:line="520" w:lineRule="exact"/>
        <w:tabs>
          <w:tab w:val="left" w:pos="90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28.4若有充分证据证明，成交供应商出现下列情况之一的，一经查实，将被取消成交资格：</w:t>
      </w:r>
      <w:r/>
    </w:p>
    <w:p>
      <w:pPr>
        <w:ind w:firstLine="480"/>
        <w:spacing w:line="52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28.4.1提供虚假材料谋取成交的。</w:t>
      </w:r>
      <w:r/>
    </w:p>
    <w:p>
      <w:pPr>
        <w:ind w:firstLine="480"/>
        <w:spacing w:line="52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28.4.2与评审专家、采购人、其他供应商或者</w:t>
      </w:r>
      <w:r>
        <w:rPr>
          <w:rFonts w:hint="eastAsia" w:ascii="宋体" w:hAnsi="宋体" w:eastAsia="宋体" w:cs="宋体"/>
          <w:color w:val="auto"/>
          <w:sz w:val="24"/>
          <w:szCs w:val="24"/>
          <w:highlight w:val="none"/>
        </w:rPr>
        <w:t xml:space="preserve">采购代理机构</w:t>
      </w:r>
      <w:r>
        <w:rPr>
          <w:rFonts w:hint="eastAsia" w:ascii="宋体" w:hAnsi="宋体" w:eastAsia="宋体" w:cs="宋体"/>
          <w:bCs/>
          <w:color w:val="auto"/>
          <w:sz w:val="24"/>
          <w:szCs w:val="24"/>
          <w:highlight w:val="none"/>
        </w:rPr>
        <w:t xml:space="preserve">工作人员恶意串通的。</w:t>
      </w:r>
      <w:r/>
    </w:p>
    <w:p>
      <w:pPr>
        <w:ind w:firstLine="480"/>
        <w:spacing w:line="52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28.4.3向评审专家、采购人或</w:t>
      </w:r>
      <w:r>
        <w:rPr>
          <w:rFonts w:hint="eastAsia" w:ascii="宋体" w:hAnsi="宋体" w:eastAsia="宋体" w:cs="宋体"/>
          <w:color w:val="auto"/>
          <w:sz w:val="24"/>
          <w:szCs w:val="24"/>
          <w:highlight w:val="none"/>
        </w:rPr>
        <w:t xml:space="preserve">采购代理机构</w:t>
      </w:r>
      <w:r>
        <w:rPr>
          <w:rFonts w:hint="eastAsia" w:ascii="宋体" w:hAnsi="宋体" w:eastAsia="宋体" w:cs="宋体"/>
          <w:bCs/>
          <w:color w:val="auto"/>
          <w:sz w:val="24"/>
          <w:szCs w:val="24"/>
          <w:highlight w:val="none"/>
        </w:rPr>
        <w:t xml:space="preserve">工作人员行贿或者提供其他不正当利益的。</w:t>
      </w:r>
      <w:r/>
    </w:p>
    <w:p>
      <w:pPr>
        <w:ind w:firstLine="480"/>
        <w:spacing w:line="52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28.4.4恶意竞争，最后报价明显低于其自身合理成本且又无法提供证明的。</w:t>
      </w:r>
      <w:r/>
    </w:p>
    <w:p>
      <w:pPr>
        <w:ind w:firstLine="480"/>
        <w:spacing w:line="52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28.4.5不满足本磋商文件规定的实质性要求，但在评审过程中又未被磋商小组发现的。</w:t>
      </w:r>
      <w:r/>
    </w:p>
    <w:p>
      <w:pPr>
        <w:ind w:firstLine="480"/>
        <w:spacing w:line="52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28.4.6成交后无正当理由拒不与采购人签订政府采购合同或者未按照磋商文件确定的事项签订政府采购合同的。</w:t>
      </w:r>
      <w:r/>
    </w:p>
    <w:p>
      <w:pPr>
        <w:ind w:firstLine="480"/>
        <w:spacing w:line="52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28.4.7将政府采购合同转包的。</w:t>
      </w:r>
      <w:r/>
    </w:p>
    <w:p>
      <w:pPr>
        <w:ind w:firstLine="480"/>
        <w:keepLines/>
        <w:keepNext/>
        <w:spacing w:line="520" w:lineRule="exact"/>
        <w:rPr>
          <w:rFonts w:hint="eastAsia" w:ascii="宋体" w:hAnsi="宋体" w:eastAsia="宋体" w:cs="宋体"/>
          <w:b/>
          <w:bCs w:val="0"/>
          <w:color w:val="auto"/>
          <w:sz w:val="24"/>
          <w:szCs w:val="24"/>
          <w:highlight w:val="none"/>
        </w:rPr>
      </w:pPr>
      <w:r/>
      <w:bookmarkStart w:id="176" w:name="_Toc200451960"/>
      <w:r>
        <w:rPr>
          <w:rFonts w:hint="eastAsia" w:ascii="宋体" w:hAnsi="宋体" w:eastAsia="宋体" w:cs="宋体"/>
          <w:b/>
          <w:bCs w:val="0"/>
          <w:color w:val="auto"/>
          <w:sz w:val="24"/>
          <w:szCs w:val="24"/>
          <w:highlight w:val="none"/>
        </w:rPr>
        <w:t xml:space="preserve">29、质疑处理</w:t>
      </w:r>
      <w:bookmarkEnd w:id="176"/>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29.1提出质疑的供应商应当是参与所质疑项目采购活动的供应商。潜在供应商依法获取其可质疑的采购文件的，可以对采购文件提出质疑。</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29.2供应商认为采购文件、采购过程和采购结果使自己的权益受到损害的，可以在知道或应知其权益受到损害之日起七个工作日内，以书面形式根据下述29.4条款的规定向采购代理机构或采购人提出质疑。上述应知其权益受到损害之日，是指：</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29.2.1对可以质疑的采购文件提出质疑的，为收到采购文件之日或者采购文件公告期限届满之日。</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29.2.2对采购过程提出质疑的，为各采购程序环节结束之日。</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29.2.3对成交结果提出质疑的，为成交结果公告期限届满之日。</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供应商应当在法定质疑期内一次性提出针对同一采购程序环节的质疑。供应商如在法定期限内对同一采购程序环节提出多次质疑的，采购代理机构、采购人将只对供应商第一次质疑作出答复。</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29.3质疑函必须按照本磋商文件中《质疑函范本》要求的格式和内容进行填写。供应商如组成联合体参加磋商，则《质疑函范本》中要求签字、盖章、加盖公章之处，联合体各方均须按要求签字、盖章、加盖公章。</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29.4供应商应以书面形式向采购人或者其委托的采购代理机构提出质疑。质疑超出采购机构代理范围的，供应商应当向采购人提出。</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接收质疑函的方式：现场接收或邮寄接收。</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联系部门：</w:t>
      </w:r>
      <w:r>
        <w:rPr>
          <w:rFonts w:hint="eastAsia" w:ascii="宋体" w:hAnsi="宋体" w:eastAsia="宋体" w:cs="宋体"/>
          <w:color w:val="auto"/>
          <w:sz w:val="24"/>
          <w:szCs w:val="24"/>
          <w:highlight w:val="none"/>
          <w:lang w:eastAsia="zh-CN"/>
        </w:rPr>
        <w:t xml:space="preserve">宿迁市生态环境局</w:t>
      </w:r>
      <w:r>
        <w:rPr>
          <w:rFonts w:hint="eastAsia" w:ascii="宋体" w:hAnsi="宋体" w:eastAsia="宋体" w:cs="宋体"/>
          <w:color w:val="auto"/>
          <w:sz w:val="24"/>
          <w:szCs w:val="24"/>
          <w:highlight w:val="none"/>
        </w:rPr>
        <w:t xml:space="preserve">（或</w:t>
      </w:r>
      <w:r>
        <w:rPr>
          <w:rFonts w:hint="eastAsia" w:ascii="宋体" w:hAnsi="宋体" w:eastAsia="宋体" w:cs="宋体"/>
          <w:color w:val="auto"/>
          <w:sz w:val="24"/>
          <w:szCs w:val="24"/>
          <w:highlight w:val="none"/>
          <w:lang w:eastAsia="zh-CN"/>
        </w:rPr>
        <w:t xml:space="preserve">江苏科建工程项目管理有限公司</w:t>
      </w:r>
      <w:r>
        <w:rPr>
          <w:rFonts w:hint="eastAsia" w:ascii="宋体" w:hAnsi="宋体" w:eastAsia="宋体" w:cs="宋体"/>
          <w:color w:val="auto"/>
          <w:sz w:val="24"/>
          <w:szCs w:val="24"/>
          <w:highlight w:val="none"/>
        </w:rPr>
        <w:t xml:space="preserve">）</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联系方式：0527-</w:t>
      </w:r>
      <w:r>
        <w:rPr>
          <w:rFonts w:hint="eastAsia" w:ascii="宋体" w:hAnsi="宋体" w:eastAsia="宋体" w:cs="宋体"/>
          <w:color w:val="auto"/>
          <w:sz w:val="24"/>
          <w:szCs w:val="24"/>
          <w:highlight w:val="none"/>
          <w:lang w:val="en-US" w:eastAsia="zh-CN"/>
        </w:rPr>
        <w:t xml:space="preserve">84338633</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0527-88988618</w:t>
      </w:r>
      <w:r>
        <w:rPr>
          <w:rFonts w:hint="eastAsia" w:ascii="宋体" w:hAnsi="宋体" w:eastAsia="宋体" w:cs="宋体"/>
          <w:color w:val="auto"/>
          <w:sz w:val="24"/>
          <w:szCs w:val="24"/>
          <w:highlight w:val="none"/>
        </w:rPr>
        <w:t xml:space="preserve">）</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通讯地址：</w:t>
      </w:r>
      <w:r>
        <w:rPr>
          <w:rFonts w:hint="eastAsia" w:ascii="宋体" w:hAnsi="宋体" w:eastAsia="宋体" w:cs="宋体"/>
          <w:color w:val="auto"/>
          <w:sz w:val="24"/>
          <w:szCs w:val="24"/>
          <w:highlight w:val="none"/>
          <w:lang w:eastAsia="zh-CN"/>
        </w:rPr>
        <w:t xml:space="preserve">宿迁市宿城区平安大道68号</w:t>
      </w:r>
      <w:r>
        <w:rPr>
          <w:rFonts w:hint="eastAsia" w:ascii="宋体" w:hAnsi="宋体" w:eastAsia="宋体" w:cs="宋体"/>
          <w:color w:val="auto"/>
          <w:sz w:val="24"/>
          <w:szCs w:val="24"/>
          <w:highlight w:val="none"/>
        </w:rPr>
        <w:t xml:space="preserve">（或</w:t>
      </w:r>
      <w:r>
        <w:rPr>
          <w:rFonts w:hint="eastAsia" w:ascii="宋体" w:hAnsi="宋体" w:eastAsia="宋体" w:cs="宋体"/>
          <w:color w:val="auto"/>
          <w:sz w:val="24"/>
          <w:szCs w:val="24"/>
          <w:highlight w:val="none"/>
          <w:lang w:eastAsia="zh-CN"/>
        </w:rPr>
        <w:t xml:space="preserve">宿迁市电子商务产业园电商大厦B栋4</w:t>
      </w:r>
      <w:r>
        <w:rPr>
          <w:rFonts w:hint="eastAsia" w:ascii="宋体" w:hAnsi="宋体" w:eastAsia="宋体" w:cs="宋体"/>
          <w:color w:val="auto"/>
          <w:sz w:val="24"/>
          <w:szCs w:val="24"/>
          <w:highlight w:val="none"/>
          <w:lang w:val="en-US" w:eastAsia="zh-CN"/>
        </w:rPr>
        <w:t xml:space="preserve">F13室</w:t>
      </w:r>
      <w:r>
        <w:rPr>
          <w:rFonts w:hint="eastAsia" w:ascii="宋体" w:hAnsi="宋体" w:eastAsia="宋体" w:cs="宋体"/>
          <w:color w:val="auto"/>
          <w:sz w:val="24"/>
          <w:szCs w:val="24"/>
          <w:highlight w:val="none"/>
        </w:rPr>
        <w:t xml:space="preserve">）</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29.5以下情形的质疑不予受理</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29.5.1内容不符合《政府采购质疑和投诉办法》第十二条规定的质疑。</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29.5.2超出政府采购法定期限的质疑。</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29.5.3以传真、电子邮件等方式递交的非原件形式的质疑。</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29.5.4未参加磋商活动的供应商或在磋商活动中自身权益未受到损害的供应商所提出的质疑。</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29.5.5供应商组成联合体参加磋商，联合体中任何一方或多方未按要求签字、盖章、加盖公章的质疑。</w:t>
      </w:r>
      <w:r/>
    </w:p>
    <w:p>
      <w:pPr>
        <w:ind w:firstLine="468"/>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29.6供应商提出书面质疑必须有理、有据，不得捏造事实、提供虚假材料进行恶意质疑。否则，一经查实，采购代理机构有权依据政府采购的有关规定，报请政府采购监管部门对该供应商进行相应的行政处罚和记录该供应商的失信信息。</w:t>
      </w:r>
      <w:r/>
    </w:p>
    <w:p>
      <w:pPr>
        <w:ind w:firstLine="468"/>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29.7质疑供应商对采购人、采购代理机构的答复不满意，或者采购人、采购代理机构未在规定时间内作出答复的，可以在答复期满后15个工作日内向同级财政部门提起投诉。</w:t>
      </w:r>
      <w:r/>
    </w:p>
    <w:p>
      <w:pPr>
        <w:ind w:firstLine="468"/>
        <w:spacing w:line="520" w:lineRule="exact"/>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 xml:space="preserve">30、成交通知书</w:t>
      </w:r>
      <w:r/>
    </w:p>
    <w:p>
      <w:pPr>
        <w:ind w:firstLine="468"/>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30.1成交结果确定后，采购代理机构将向成交供应商发出成交通知书。请成交供应商使用CA数字证书登录“苏采云系统”及时下载成交通知书。成交供应商可自行下载打印《成交通知书》，《成交通知书》将作为授予合同资格的唯一合法依据。</w:t>
      </w:r>
      <w:r/>
    </w:p>
    <w:p>
      <w:pPr>
        <w:ind w:firstLine="600"/>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30.2成交通知书将是合同的一个组成部分。对采购人和成交供应商均具有法律效力。成交通知书发出后，采购人改变成交结果的，或者成交供应商放弃成交项目的，应当依法承担法律责任。</w:t>
      </w:r>
      <w:r/>
    </w:p>
    <w:p>
      <w:pPr>
        <w:keepLines w:val="0"/>
        <w:keepNext w:val="0"/>
        <w:pageBreakBefore w:val="0"/>
        <w:spacing w:line="520" w:lineRule="exact"/>
        <w:widowControl w:val="off"/>
        <w:rPr>
          <w:rFonts w:hint="eastAsia" w:ascii="宋体" w:hAnsi="宋体" w:eastAsia="宋体" w:cs="宋体"/>
          <w:b/>
          <w:bCs/>
          <w:color w:val="auto"/>
          <w:sz w:val="24"/>
          <w:szCs w:val="24"/>
          <w:highlight w:val="none"/>
        </w:rPr>
        <w:outlineLvl w:val="1"/>
      </w:pPr>
      <w:r/>
      <w:bookmarkStart w:id="177" w:name="_Toc16938552"/>
      <w:r/>
      <w:bookmarkStart w:id="178" w:name="_Toc120614220"/>
      <w:r/>
      <w:bookmarkStart w:id="179" w:name="_Toc513029236"/>
      <w:r/>
      <w:bookmarkStart w:id="180" w:name="_Toc5838"/>
      <w:r/>
      <w:bookmarkStart w:id="181" w:name="_Toc20823308"/>
      <w:r>
        <w:rPr>
          <w:rFonts w:hint="eastAsia" w:ascii="宋体" w:hAnsi="宋体" w:eastAsia="宋体" w:cs="宋体"/>
          <w:b/>
          <w:bCs/>
          <w:color w:val="auto"/>
          <w:sz w:val="24"/>
          <w:szCs w:val="24"/>
          <w:highlight w:val="none"/>
        </w:rPr>
        <w:t xml:space="preserve">七、授予合同</w:t>
      </w:r>
      <w:bookmarkEnd w:id="177"/>
      <w:r/>
      <w:bookmarkEnd w:id="178"/>
      <w:r/>
      <w:bookmarkEnd w:id="179"/>
      <w:r/>
      <w:bookmarkEnd w:id="180"/>
      <w:r/>
      <w:bookmarkEnd w:id="181"/>
      <w:r/>
      <w:r/>
    </w:p>
    <w:p>
      <w:pPr>
        <w:ind w:firstLine="482"/>
        <w:keepLines w:val="0"/>
        <w:keepNext w:val="0"/>
        <w:pageBreakBefore w:val="0"/>
        <w:spacing w:line="520" w:lineRule="exact"/>
        <w:widowControl w:val="off"/>
        <w:rPr>
          <w:rFonts w:hint="eastAsia" w:ascii="宋体" w:hAnsi="宋体" w:eastAsia="宋体" w:cs="宋体"/>
          <w:b/>
          <w:bCs w:val="0"/>
          <w:color w:val="auto"/>
          <w:sz w:val="24"/>
          <w:szCs w:val="24"/>
          <w:highlight w:val="none"/>
        </w:rPr>
      </w:pPr>
      <w:r/>
      <w:bookmarkStart w:id="182" w:name="_Toc20823309"/>
      <w:r/>
      <w:bookmarkStart w:id="183" w:name="_Toc513029237"/>
      <w:r/>
      <w:bookmarkStart w:id="184" w:name="_Toc16938553"/>
      <w:r>
        <w:rPr>
          <w:rFonts w:hint="eastAsia" w:ascii="宋体" w:hAnsi="宋体" w:eastAsia="宋体" w:cs="宋体"/>
          <w:b/>
          <w:bCs w:val="0"/>
          <w:color w:val="auto"/>
          <w:sz w:val="24"/>
          <w:szCs w:val="24"/>
          <w:highlight w:val="none"/>
        </w:rPr>
        <w:t xml:space="preserve">31.签订合同</w:t>
      </w:r>
      <w:r/>
    </w:p>
    <w:p>
      <w:pPr>
        <w:ind w:firstLine="482"/>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31</w:t>
      </w:r>
      <w:r>
        <w:rPr>
          <w:rFonts w:hint="eastAsia" w:ascii="宋体" w:hAnsi="宋体" w:eastAsia="宋体" w:cs="宋体"/>
          <w:color w:val="auto"/>
          <w:sz w:val="24"/>
          <w:szCs w:val="24"/>
          <w:highlight w:val="none"/>
        </w:rPr>
        <w:t xml:space="preserve">.l成交供应商应当在成交通知书发出之日起15日内，按照磋商文件确定的事项与采购人签订政府采购合同。</w:t>
      </w:r>
      <w:r/>
    </w:p>
    <w:p>
      <w:pPr>
        <w:ind w:firstLine="482"/>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31.2磋商文件、成交供应商的响应文件及磋商过程中有关澄清、承诺文件均应作为合同附件。</w:t>
      </w:r>
      <w:r/>
    </w:p>
    <w:p>
      <w:pPr>
        <w:ind w:firstLine="482"/>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31.3签订合同后，成交供应商不得将合同标的进行转包。未经采购人同意，成交供应商也不得采用分包形式履行合同,否则采购人有权</w:t>
      </w:r>
      <w:r>
        <w:rPr>
          <w:rFonts w:hint="eastAsia" w:ascii="宋体" w:hAnsi="宋体" w:eastAsia="宋体" w:cs="宋体"/>
          <w:color w:val="auto"/>
          <w:sz w:val="24"/>
          <w:szCs w:val="24"/>
          <w:highlight w:val="none"/>
          <w:lang w:eastAsia="zh-CN"/>
        </w:rPr>
        <w:t xml:space="preserve">解除合同</w:t>
      </w:r>
      <w:r>
        <w:rPr>
          <w:rFonts w:hint="eastAsia" w:ascii="宋体" w:hAnsi="宋体" w:eastAsia="宋体" w:cs="宋体"/>
          <w:color w:val="auto"/>
          <w:sz w:val="24"/>
          <w:szCs w:val="24"/>
          <w:highlight w:val="none"/>
        </w:rPr>
        <w:t xml:space="preserve">。转包或分包造成采购人损失的，成交供应商应承担相应赔偿责任。</w:t>
      </w:r>
      <w:r/>
    </w:p>
    <w:p>
      <w:pPr>
        <w:ind w:firstLine="482"/>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31.4本项目的非主体、非关键性工作是否允许分包按以下第2种方式确定：</w:t>
      </w:r>
      <w:r/>
    </w:p>
    <w:p>
      <w:pPr>
        <w:ind w:firstLine="482"/>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1.允许分包，允许大中型企业向一家或者多家小微企业分包，分包具体内容、金额或比例：</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w:t>
      </w:r>
      <w:r/>
    </w:p>
    <w:p>
      <w:pPr>
        <w:ind w:firstLine="480"/>
        <w:keepLines/>
        <w:keepNext/>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2.不允许分包。未经采购人同意，成交供应商也不得采用分包形式履行合同,否则采购人有权</w:t>
      </w:r>
      <w:r>
        <w:rPr>
          <w:rFonts w:hint="eastAsia" w:ascii="宋体" w:hAnsi="宋体" w:eastAsia="宋体" w:cs="宋体"/>
          <w:color w:val="auto"/>
          <w:sz w:val="24"/>
          <w:szCs w:val="24"/>
          <w:highlight w:val="none"/>
          <w:lang w:eastAsia="zh-CN"/>
        </w:rPr>
        <w:t xml:space="preserve">解除合同</w:t>
      </w:r>
      <w:r>
        <w:rPr>
          <w:rFonts w:hint="eastAsia" w:ascii="宋体" w:hAnsi="宋体" w:eastAsia="宋体" w:cs="宋体"/>
          <w:color w:val="auto"/>
          <w:sz w:val="24"/>
          <w:szCs w:val="24"/>
          <w:highlight w:val="none"/>
        </w:rPr>
        <w:t xml:space="preserve">。转包或分包造成采购人损失的，成交供应商应承担相应赔偿责任。</w:t>
      </w:r>
      <w:r/>
    </w:p>
    <w:p>
      <w:pPr>
        <w:ind w:firstLine="480"/>
        <w:spacing w:line="52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31.5履约保证金</w:t>
      </w:r>
      <w:r/>
    </w:p>
    <w:p>
      <w:pPr>
        <w:ind w:firstLine="480"/>
        <w:spacing w:line="480" w:lineRule="exact"/>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按照以下第</w:t>
      </w:r>
      <w:r>
        <w:rPr>
          <w:rFonts w:hint="eastAsia" w:ascii="宋体" w:hAnsi="宋体" w:eastAsia="宋体" w:cs="宋体"/>
          <w:color w:val="auto"/>
          <w:sz w:val="24"/>
          <w:highlight w:val="none"/>
          <w:u w:val="single"/>
        </w:rPr>
        <w:t xml:space="preserve">（</w:t>
      </w:r>
      <w:r>
        <w:rPr>
          <w:rFonts w:hint="eastAsia" w:ascii="宋体" w:hAnsi="宋体" w:cs="宋体"/>
          <w:color w:val="auto"/>
          <w:sz w:val="24"/>
          <w:highlight w:val="none"/>
          <w:u w:val="single"/>
          <w:lang w:val="en-US" w:eastAsia="zh-CN"/>
        </w:rPr>
        <w:t xml:space="preserve">1</w:t>
      </w:r>
      <w:r>
        <w:rPr>
          <w:rFonts w:hint="eastAsia" w:ascii="宋体" w:hAnsi="宋体" w:eastAsia="宋体" w:cs="宋体"/>
          <w:color w:val="auto"/>
          <w:sz w:val="24"/>
          <w:highlight w:val="none"/>
          <w:u w:val="single"/>
        </w:rPr>
        <w:t xml:space="preserve">）</w:t>
      </w:r>
      <w:r>
        <w:rPr>
          <w:rFonts w:hint="eastAsia" w:ascii="宋体" w:hAnsi="宋体" w:eastAsia="宋体" w:cs="宋体"/>
          <w:color w:val="auto"/>
          <w:sz w:val="24"/>
          <w:highlight w:val="none"/>
          <w:lang w:val="zh-CN"/>
        </w:rPr>
        <w:t xml:space="preserve">方式确定履约保证</w:t>
      </w:r>
      <w:r>
        <w:rPr>
          <w:rFonts w:hint="eastAsia" w:ascii="宋体" w:hAnsi="宋体" w:eastAsia="宋体" w:cs="宋体"/>
          <w:color w:val="auto"/>
          <w:sz w:val="24"/>
          <w:highlight w:val="none"/>
        </w:rPr>
        <w:t xml:space="preserve">金</w:t>
      </w:r>
      <w:r>
        <w:rPr>
          <w:rFonts w:hint="eastAsia" w:ascii="宋体" w:hAnsi="宋体" w:eastAsia="宋体" w:cs="宋体"/>
          <w:color w:val="auto"/>
          <w:sz w:val="24"/>
          <w:highlight w:val="none"/>
          <w:lang w:val="zh-CN"/>
        </w:rPr>
        <w:t xml:space="preserve">收取方式。</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（1）本项目不收取履约保证金。</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（2）本项目收取履约保证金。</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履约保证金提交形式</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履约保证金应在采购合同签订前提交，除银行电汇、网上银行、数字人民币外，供应商还可选用银行保函、担保公司的保证担保或保险公司的保证保险等多种形式向采购人缴纳。</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履约保证金提交金额</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按采购合同总价的</w:t>
      </w:r>
      <w:r>
        <w:rPr>
          <w:rFonts w:hint="eastAsia" w:ascii="宋体" w:hAnsi="宋体" w:cs="宋体"/>
          <w:color w:val="auto"/>
          <w:sz w:val="24"/>
          <w:highlight w:val="none"/>
          <w:u w:val="single"/>
          <w:lang w:val="en-US" w:eastAsia="zh-CN"/>
        </w:rPr>
        <w:t xml:space="preserve">5</w:t>
      </w:r>
      <w:r>
        <w:rPr>
          <w:rFonts w:hint="eastAsia" w:ascii="宋体" w:hAnsi="宋体" w:eastAsia="宋体" w:cs="宋体"/>
          <w:color w:val="auto"/>
          <w:sz w:val="24"/>
          <w:highlight w:val="none"/>
          <w:u w:val="none"/>
        </w:rPr>
        <w:t xml:space="preserve">%</w:t>
      </w:r>
      <w:r>
        <w:rPr>
          <w:rFonts w:hint="eastAsia" w:ascii="宋体" w:hAnsi="宋体" w:eastAsia="宋体" w:cs="宋体"/>
          <w:color w:val="auto"/>
          <w:sz w:val="24"/>
          <w:highlight w:val="none"/>
        </w:rPr>
        <w:t xml:space="preserve">提交。</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支持和鼓励成交供应商使用江苏政府采购电子履约保函（保险）代替缴纳履约保证金，成交供应商如使用江苏政府采购电子履约保函（保险）的，可按采购合同总价的</w:t>
      </w:r>
      <w:r>
        <w:rPr>
          <w:rFonts w:hint="eastAsia" w:ascii="宋体" w:hAnsi="宋体" w:eastAsia="宋体" w:cs="宋体"/>
          <w:color w:val="auto"/>
          <w:sz w:val="24"/>
          <w:highlight w:val="none"/>
          <w:u w:val="single"/>
          <w:lang w:val="en-US" w:eastAsia="zh-CN"/>
        </w:rPr>
        <w:t xml:space="preserve"> </w:t>
      </w:r>
      <w:r>
        <w:rPr>
          <w:rFonts w:hint="eastAsia" w:ascii="宋体" w:hAnsi="宋体" w:cs="宋体"/>
          <w:color w:val="auto"/>
          <w:sz w:val="24"/>
          <w:highlight w:val="none"/>
          <w:u w:val="single"/>
          <w:lang w:val="en-US" w:eastAsia="zh-CN"/>
        </w:rPr>
        <w:t xml:space="preserve">3</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rPr>
        <w:t xml:space="preserve">% （</w:t>
      </w:r>
      <w:bookmarkStart w:id="185" w:name="_Hlk187763955"/>
      <w:r>
        <w:rPr>
          <w:rFonts w:hint="eastAsia" w:ascii="宋体" w:hAnsi="宋体" w:eastAsia="宋体" w:cs="宋体"/>
          <w:color w:val="auto"/>
          <w:sz w:val="24"/>
          <w:highlight w:val="none"/>
        </w:rPr>
        <w:t xml:space="preserve">履约保证金原提交金额的6折</w:t>
      </w:r>
      <w:bookmarkEnd w:id="185"/>
      <w:r>
        <w:rPr>
          <w:rFonts w:hint="eastAsia" w:ascii="宋体" w:hAnsi="宋体" w:eastAsia="宋体" w:cs="宋体"/>
          <w:color w:val="auto"/>
          <w:sz w:val="24"/>
          <w:highlight w:val="none"/>
        </w:rPr>
        <w:t xml:space="preserve">）提交。</w:t>
      </w:r>
      <w:bookmarkStart w:id="186" w:name="_Hlk187842952"/>
      <w:r>
        <w:rPr>
          <w:rFonts w:hint="eastAsia" w:ascii="宋体" w:hAnsi="宋体" w:eastAsia="宋体" w:cs="宋体"/>
          <w:color w:val="auto"/>
          <w:sz w:val="24"/>
          <w:highlight w:val="none"/>
        </w:rPr>
        <w:t xml:space="preserve">办理流程、偿付等内容见江苏政府采购网“保险保函”模块。履约保函未生效或未提交采购人备案的，本采购合同不生效。成交供应商须将电子保函电子版发送至采购人招标办项目负责人处备案。</w:t>
      </w:r>
      <w:bookmarkEnd w:id="186"/>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履约保证金退还方式</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以银行电汇、网上银行、数字人民币形式缴纳履约保证金的，退回至成交供应商存款账户或数字人民币账户；以保函、担保、保险等形式缴纳履约保证金的，在保函、担保、保险约定的保证期限届满之日起自行失效。</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履约保证金退还条件</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具有</w:t>
      </w:r>
      <w:r>
        <w:rPr>
          <w:rFonts w:hint="eastAsia" w:ascii="宋体" w:hAnsi="宋体" w:cs="宋体"/>
          <w:color w:val="auto"/>
          <w:sz w:val="24"/>
          <w:highlight w:val="none"/>
          <w:lang w:val="en-US" w:eastAsia="zh-CN"/>
        </w:rPr>
        <w:t xml:space="preserve">履约完成的</w:t>
      </w:r>
      <w:r>
        <w:rPr>
          <w:rFonts w:hint="eastAsia" w:ascii="宋体" w:hAnsi="宋体" w:eastAsia="宋体" w:cs="宋体"/>
          <w:color w:val="auto"/>
          <w:sz w:val="24"/>
          <w:highlight w:val="none"/>
        </w:rPr>
        <w:t xml:space="preserve">相关证明材料。</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履约保证金退还时间</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采购人收到成交供应商退付申请后5个工作日内退还。</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履约保证金不予退还情形</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除不可抗力外，成交供应商不履行与采购人订立的采购合同的，履约保证金不予退还，给采购人造成的损失超过履约保证金数额的，还应对超过部分予以赔偿。</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逾期退还履约保证金违约责任</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采购人逾期退还履约保证金的，除应退还履约保证金外，还应按中国人民银行同期贷款基准利率上浮20％后的利率支付超期资金占用费，但因成交供应商自身原因导致无法及时退还的除外。</w:t>
      </w:r>
      <w:r/>
    </w:p>
    <w:p>
      <w:pPr>
        <w:ind w:firstLine="480"/>
        <w:keepLines/>
        <w:keepNext/>
        <w:spacing w:line="520" w:lineRule="exact"/>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 xml:space="preserve">32、标的物的追加</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bookmarkEnd w:id="182"/>
      <w:r/>
      <w:bookmarkEnd w:id="183"/>
      <w:r/>
      <w:bookmarkEnd w:id="184"/>
      <w:r/>
      <w:r/>
    </w:p>
    <w:p>
      <w:pPr>
        <w:ind w:firstLine="480"/>
        <w:spacing w:line="520" w:lineRule="exact"/>
        <w:rPr>
          <w:rFonts w:hint="eastAsia" w:ascii="宋体" w:hAnsi="宋体" w:eastAsia="宋体" w:cs="宋体"/>
          <w:b/>
          <w:bCs w:val="0"/>
          <w:color w:val="auto"/>
          <w:sz w:val="24"/>
          <w:szCs w:val="24"/>
          <w:highlight w:val="none"/>
        </w:rPr>
      </w:pPr>
      <w:r/>
      <w:bookmarkStart w:id="187" w:name="_Toc513029242"/>
      <w:r/>
      <w:bookmarkStart w:id="188" w:name="_Toc479757207"/>
      <w:r/>
      <w:bookmarkStart w:id="189" w:name="_Toc16938558"/>
      <w:r/>
      <w:bookmarkStart w:id="190" w:name="_Toc120614221"/>
      <w:r/>
      <w:bookmarkStart w:id="191" w:name="_Toc20823314"/>
      <w:r>
        <w:rPr>
          <w:rFonts w:hint="eastAsia" w:ascii="宋体" w:hAnsi="宋体" w:eastAsia="宋体" w:cs="宋体"/>
          <w:b/>
          <w:bCs w:val="0"/>
          <w:color w:val="auto"/>
          <w:sz w:val="24"/>
          <w:szCs w:val="24"/>
          <w:highlight w:val="none"/>
        </w:rPr>
        <w:t xml:space="preserve">33、政府采购履约资金扶持政策</w:t>
      </w:r>
      <w:r/>
    </w:p>
    <w:p>
      <w:pPr>
        <w:ind w:firstLine="420"/>
        <w:spacing w:line="520" w:lineRule="exact"/>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33.1</w:t>
      </w:r>
      <w:r>
        <w:rPr>
          <w:rFonts w:hint="eastAsia" w:ascii="宋体" w:hAnsi="宋体" w:eastAsia="宋体" w:cs="宋体"/>
          <w:bCs/>
          <w:caps w:val="0"/>
          <w:color w:val="auto"/>
          <w:sz w:val="24"/>
          <w:highlight w:val="none"/>
          <w:lang w:val="zh-CN"/>
        </w:rPr>
        <w:t xml:space="preserve">根据江苏省财政厅 中国人民银行南京分行《关于深入推进政府采购线上合同信用融资工作的通知》（苏财购〔2021〕82号）</w:t>
      </w:r>
      <w:r>
        <w:rPr>
          <w:rFonts w:hint="eastAsia" w:ascii="宋体" w:hAnsi="宋体" w:eastAsia="宋体" w:cs="宋体"/>
          <w:bCs/>
          <w:color w:val="auto"/>
          <w:sz w:val="24"/>
          <w:szCs w:val="24"/>
          <w:highlight w:val="none"/>
          <w:lang w:val="zh-CN"/>
        </w:rPr>
        <w:t xml:space="preserve">，对政府采购成交供应商提出“政采贷”融资申请的，采购人应当依法按时在“苏采云”系统中录入并公开政府采购合同信息，勾选“融资贷款”选项，并在合同签订、验收付款、账号维护等环节提供必要便利，持续降低参与政府采购的中小企业融资成本。成交供应商如需获得合同信用融资支持，可凭政府采购合同办理“政采贷”融资贷款。</w:t>
      </w:r>
      <w:r/>
    </w:p>
    <w:p>
      <w:pPr>
        <w:ind w:firstLine="480"/>
        <w:spacing w:line="52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34、验收</w:t>
      </w:r>
      <w:r/>
    </w:p>
    <w:p>
      <w:pPr>
        <w:ind w:firstLine="482"/>
        <w:spacing w:line="520" w:lineRule="exact"/>
        <w:rPr>
          <w:rFonts w:hint="eastAsia" w:ascii="宋体" w:hAnsi="宋体" w:eastAsia="宋体" w:cs="宋体"/>
          <w:b w:val="0"/>
          <w:bCs/>
          <w:color w:val="auto"/>
          <w:sz w:val="24"/>
          <w:szCs w:val="24"/>
          <w:highlight w:val="none"/>
          <w:lang w:eastAsia="zh-CN"/>
        </w:rPr>
      </w:pPr>
      <w:r>
        <w:rPr>
          <w:rFonts w:hint="eastAsia" w:ascii="宋体" w:hAnsi="宋体" w:eastAsia="宋体" w:cs="宋体"/>
          <w:b w:val="0"/>
          <w:bCs/>
          <w:color w:val="auto"/>
          <w:sz w:val="24"/>
          <w:szCs w:val="24"/>
          <w:highlight w:val="none"/>
          <w:lang w:val="en-US" w:eastAsia="zh-CN"/>
        </w:rPr>
        <w:t xml:space="preserve">34</w:t>
      </w:r>
      <w:r>
        <w:rPr>
          <w:rFonts w:hint="eastAsia" w:ascii="宋体" w:hAnsi="宋体" w:eastAsia="宋体" w:cs="宋体"/>
          <w:b w:val="0"/>
          <w:bCs/>
          <w:color w:val="auto"/>
          <w:sz w:val="24"/>
          <w:szCs w:val="24"/>
          <w:highlight w:val="none"/>
        </w:rPr>
        <w:t xml:space="preserve">.1</w:t>
      </w:r>
      <w:r>
        <w:rPr>
          <w:rFonts w:hint="eastAsia" w:ascii="宋体" w:hAnsi="宋体" w:eastAsia="宋体" w:cs="宋体"/>
          <w:b w:val="0"/>
          <w:bCs/>
          <w:color w:val="auto"/>
          <w:sz w:val="24"/>
          <w:szCs w:val="24"/>
          <w:highlight w:val="none"/>
          <w:lang w:eastAsia="zh-CN"/>
        </w:rPr>
        <w:t xml:space="preserve">成交</w:t>
      </w:r>
      <w:r>
        <w:rPr>
          <w:rFonts w:hint="eastAsia" w:ascii="宋体" w:hAnsi="宋体" w:eastAsia="宋体" w:cs="宋体"/>
          <w:b w:val="0"/>
          <w:bCs/>
          <w:color w:val="auto"/>
          <w:sz w:val="24"/>
          <w:szCs w:val="24"/>
          <w:highlight w:val="none"/>
        </w:rPr>
        <w:t xml:space="preserve">单位按合同约定完成</w:t>
      </w:r>
      <w:r>
        <w:rPr>
          <w:rFonts w:hint="eastAsia" w:ascii="宋体" w:hAnsi="宋体" w:eastAsia="宋体" w:cs="宋体"/>
          <w:b w:val="0"/>
          <w:bCs/>
          <w:color w:val="auto"/>
          <w:sz w:val="24"/>
          <w:szCs w:val="24"/>
          <w:highlight w:val="none"/>
          <w:lang w:val="en-US" w:eastAsia="zh-CN"/>
        </w:rPr>
        <w:t xml:space="preserve">服务</w:t>
      </w:r>
      <w:r>
        <w:rPr>
          <w:rFonts w:hint="eastAsia" w:ascii="宋体" w:hAnsi="宋体" w:eastAsia="宋体" w:cs="宋体"/>
          <w:b w:val="0"/>
          <w:bCs/>
          <w:color w:val="auto"/>
          <w:sz w:val="24"/>
          <w:szCs w:val="24"/>
          <w:highlight w:val="none"/>
        </w:rPr>
        <w:t xml:space="preserve">，在服务</w:t>
      </w:r>
      <w:r>
        <w:rPr>
          <w:rFonts w:hint="eastAsia" w:ascii="宋体" w:hAnsi="宋体" w:eastAsia="宋体" w:cs="宋体"/>
          <w:b w:val="0"/>
          <w:bCs/>
          <w:color w:val="auto"/>
          <w:sz w:val="24"/>
          <w:szCs w:val="24"/>
          <w:highlight w:val="none"/>
          <w:lang w:val="en-US" w:eastAsia="zh-CN"/>
        </w:rPr>
        <w:t xml:space="preserve">完成后</w:t>
      </w:r>
      <w:r>
        <w:rPr>
          <w:rFonts w:hint="eastAsia" w:ascii="宋体" w:hAnsi="宋体" w:eastAsia="宋体" w:cs="宋体"/>
          <w:b w:val="0"/>
          <w:bCs/>
          <w:color w:val="auto"/>
          <w:sz w:val="24"/>
          <w:szCs w:val="24"/>
          <w:highlight w:val="none"/>
        </w:rPr>
        <w:t xml:space="preserve">向采购</w:t>
      </w:r>
      <w:r>
        <w:rPr>
          <w:rFonts w:hint="eastAsia" w:ascii="宋体" w:hAnsi="宋体" w:eastAsia="宋体" w:cs="宋体"/>
          <w:b w:val="0"/>
          <w:bCs/>
          <w:color w:val="auto"/>
          <w:sz w:val="24"/>
          <w:szCs w:val="24"/>
          <w:highlight w:val="none"/>
          <w:lang w:val="en-US" w:eastAsia="zh-CN"/>
        </w:rPr>
        <w:t xml:space="preserve">人</w:t>
      </w:r>
      <w:r>
        <w:rPr>
          <w:rFonts w:hint="eastAsia" w:ascii="宋体" w:hAnsi="宋体" w:eastAsia="宋体" w:cs="宋体"/>
          <w:b w:val="0"/>
          <w:bCs/>
          <w:color w:val="auto"/>
          <w:sz w:val="24"/>
          <w:szCs w:val="24"/>
          <w:highlight w:val="none"/>
        </w:rPr>
        <w:t xml:space="preserve">提出验收申请，采购单位接到申请后原则上在7日内按照要求组织验收</w:t>
      </w:r>
      <w:r>
        <w:rPr>
          <w:rFonts w:hint="eastAsia" w:ascii="宋体" w:hAnsi="宋体" w:eastAsia="宋体" w:cs="宋体"/>
          <w:b w:val="0"/>
          <w:bCs/>
          <w:color w:val="auto"/>
          <w:sz w:val="24"/>
          <w:szCs w:val="24"/>
          <w:highlight w:val="none"/>
          <w:lang w:eastAsia="zh-CN"/>
        </w:rPr>
        <w:t xml:space="preserve">。</w:t>
      </w:r>
      <w:r/>
    </w:p>
    <w:p>
      <w:pPr>
        <w:ind w:firstLine="482"/>
        <w:spacing w:line="520" w:lineRule="exact"/>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34</w:t>
      </w:r>
      <w:r>
        <w:rPr>
          <w:rFonts w:hint="eastAsia" w:ascii="宋体" w:hAnsi="宋体" w:eastAsia="宋体" w:cs="宋体"/>
          <w:b w:val="0"/>
          <w:bCs/>
          <w:color w:val="auto"/>
          <w:sz w:val="24"/>
          <w:szCs w:val="24"/>
          <w:highlight w:val="none"/>
        </w:rPr>
        <w:t xml:space="preserve">.2验收方法及标准：本项目验收工作</w:t>
      </w:r>
      <w:r>
        <w:rPr>
          <w:rFonts w:hint="eastAsia" w:ascii="宋体" w:hAnsi="宋体" w:eastAsia="宋体" w:cs="宋体"/>
          <w:b w:val="0"/>
          <w:bCs/>
          <w:color w:val="auto"/>
          <w:sz w:val="24"/>
          <w:szCs w:val="24"/>
          <w:highlight w:val="none"/>
          <w:lang w:val="en-US" w:eastAsia="zh-CN"/>
        </w:rPr>
        <w:t xml:space="preserve">由采购人</w:t>
      </w:r>
      <w:r>
        <w:rPr>
          <w:rFonts w:hint="eastAsia" w:ascii="宋体" w:hAnsi="宋体" w:eastAsia="宋体" w:cs="宋体"/>
          <w:b w:val="0"/>
          <w:bCs/>
          <w:color w:val="auto"/>
          <w:sz w:val="24"/>
          <w:szCs w:val="24"/>
          <w:highlight w:val="none"/>
        </w:rPr>
        <w:t xml:space="preserve">根据项目合同书、</w:t>
      </w:r>
      <w:r>
        <w:rPr>
          <w:rFonts w:hint="eastAsia" w:ascii="宋体" w:hAnsi="宋体" w:eastAsia="宋体" w:cs="宋体"/>
          <w:b w:val="0"/>
          <w:bCs/>
          <w:color w:val="auto"/>
          <w:sz w:val="24"/>
          <w:szCs w:val="24"/>
          <w:highlight w:val="none"/>
          <w:lang w:val="en-US" w:eastAsia="zh-CN"/>
        </w:rPr>
        <w:t xml:space="preserve">响应</w:t>
      </w:r>
      <w:r>
        <w:rPr>
          <w:rFonts w:hint="eastAsia" w:ascii="宋体" w:hAnsi="宋体" w:eastAsia="宋体" w:cs="宋体"/>
          <w:b w:val="0"/>
          <w:bCs/>
          <w:color w:val="auto"/>
          <w:sz w:val="24"/>
          <w:szCs w:val="24"/>
          <w:highlight w:val="none"/>
        </w:rPr>
        <w:t xml:space="preserve">文件，以采购</w:t>
      </w:r>
      <w:r>
        <w:rPr>
          <w:rFonts w:hint="eastAsia" w:ascii="宋体" w:hAnsi="宋体" w:eastAsia="宋体" w:cs="宋体"/>
          <w:b w:val="0"/>
          <w:bCs/>
          <w:color w:val="auto"/>
          <w:sz w:val="24"/>
          <w:szCs w:val="24"/>
          <w:highlight w:val="none"/>
          <w:lang w:val="en-US" w:eastAsia="zh-CN"/>
        </w:rPr>
        <w:t xml:space="preserve">人</w:t>
      </w:r>
      <w:r>
        <w:rPr>
          <w:rFonts w:hint="eastAsia" w:ascii="宋体" w:hAnsi="宋体" w:eastAsia="宋体" w:cs="宋体"/>
          <w:b w:val="0"/>
          <w:bCs/>
          <w:color w:val="auto"/>
          <w:sz w:val="24"/>
          <w:szCs w:val="24"/>
          <w:highlight w:val="none"/>
        </w:rPr>
        <w:t xml:space="preserve">比照验核的方式进行，主要验收项目是否完整、规范执行，评价项目实施规范性、质量管理措施健全有效性等。</w:t>
      </w:r>
      <w:r/>
    </w:p>
    <w:p>
      <w:pPr>
        <w:ind w:firstLine="482"/>
        <w:spacing w:line="5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35、付款</w:t>
      </w:r>
      <w:bookmarkStart w:id="192" w:name="EBec7f529f50594afd871ea9378869e456"/>
      <w:r/>
      <w:r/>
    </w:p>
    <w:p>
      <w:pPr>
        <w:ind w:firstLine="482"/>
        <w:spacing w:line="52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按照确定的付款方式，采购人及时办理付款手续。对于满足合同约定支付条件的，自收到发票后10个工作日内将资金支付到合同约定的供应商账户或供应商数字人民币账户。</w:t>
      </w:r>
      <w:bookmarkEnd w:id="192"/>
      <w:r/>
      <w:r/>
    </w:p>
    <w:p>
      <w:pPr>
        <w:ind w:firstLine="482"/>
        <w:spacing w:line="520" w:lineRule="exact"/>
        <w:rPr>
          <w:rFonts w:hint="eastAsia" w:ascii="宋体" w:hAnsi="宋体" w:eastAsia="宋体" w:cs="宋体"/>
          <w:bCs/>
          <w:color w:val="auto"/>
          <w:sz w:val="24"/>
          <w:szCs w:val="24"/>
          <w:highlight w:val="none"/>
        </w:rPr>
      </w:pPr>
      <w:r/>
      <w:bookmarkStart w:id="193" w:name="EB11398ec6946f4019bc4c35221e27b04f"/>
      <w:r>
        <w:rPr>
          <w:rFonts w:hint="eastAsia" w:ascii="宋体" w:hAnsi="宋体" w:eastAsia="宋体" w:cs="宋体"/>
          <w:bCs/>
          <w:color w:val="auto"/>
          <w:sz w:val="24"/>
          <w:szCs w:val="24"/>
          <w:highlight w:val="none"/>
        </w:rPr>
        <w:t xml:space="preserve">预付款：合同签订后支付签约合同价的</w:t>
      </w:r>
      <w:r>
        <w:rPr>
          <w:rFonts w:hint="eastAsia" w:ascii="宋体" w:hAnsi="宋体" w:eastAsia="宋体" w:cs="宋体"/>
          <w:bCs/>
          <w:color w:val="auto"/>
          <w:sz w:val="24"/>
          <w:szCs w:val="24"/>
          <w:highlight w:val="none"/>
          <w:lang w:val="en-US" w:eastAsia="zh-CN"/>
        </w:rPr>
        <w:t xml:space="preserve">40</w:t>
      </w:r>
      <w:r>
        <w:rPr>
          <w:rFonts w:hint="eastAsia" w:ascii="宋体" w:hAnsi="宋体" w:eastAsia="宋体" w:cs="宋体"/>
          <w:bCs/>
          <w:color w:val="auto"/>
          <w:sz w:val="24"/>
          <w:szCs w:val="24"/>
          <w:highlight w:val="none"/>
        </w:rPr>
        <w:t xml:space="preserve">%作为预付款；付款前供应商应向采购人提供同等金额的预付款保函(保函内容及格式须符合采购人要求)；</w:t>
      </w:r>
      <w:r/>
    </w:p>
    <w:p>
      <w:pPr>
        <w:ind w:firstLine="482"/>
        <w:spacing w:line="52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进度款：项目完成所有外业调查工作</w:t>
      </w:r>
      <w:r>
        <w:rPr>
          <w:rFonts w:hint="eastAsia" w:ascii="宋体" w:hAnsi="宋体" w:eastAsia="宋体" w:cs="宋体"/>
          <w:bCs/>
          <w:color w:val="auto"/>
          <w:sz w:val="24"/>
          <w:szCs w:val="24"/>
          <w:highlight w:val="none"/>
          <w:lang w:val="en-US" w:eastAsia="zh-CN"/>
        </w:rPr>
        <w:t xml:space="preserve">并收到供应商发票</w:t>
      </w:r>
      <w:r>
        <w:rPr>
          <w:rFonts w:hint="eastAsia" w:ascii="宋体" w:hAnsi="宋体" w:eastAsia="宋体" w:cs="宋体"/>
          <w:bCs/>
          <w:color w:val="auto"/>
          <w:sz w:val="24"/>
          <w:szCs w:val="24"/>
          <w:highlight w:val="none"/>
        </w:rPr>
        <w:t xml:space="preserve">后10个工作日内，支付合同总价的30%</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项目通过验收后</w:t>
      </w:r>
      <w:r>
        <w:rPr>
          <w:rFonts w:hint="eastAsia" w:ascii="宋体" w:hAnsi="宋体" w:eastAsia="宋体" w:cs="宋体"/>
          <w:bCs/>
          <w:color w:val="auto"/>
          <w:sz w:val="24"/>
          <w:szCs w:val="24"/>
          <w:highlight w:val="none"/>
          <w:lang w:val="en-US" w:eastAsia="zh-CN"/>
        </w:rPr>
        <w:t xml:space="preserve">并收到供应商发票</w:t>
      </w:r>
      <w:r>
        <w:rPr>
          <w:rFonts w:hint="eastAsia" w:ascii="宋体" w:hAnsi="宋体" w:eastAsia="宋体" w:cs="宋体"/>
          <w:bCs/>
          <w:color w:val="auto"/>
          <w:sz w:val="24"/>
          <w:szCs w:val="24"/>
          <w:highlight w:val="none"/>
        </w:rPr>
        <w:t xml:space="preserve">10个工作日内，一次性支付剩余合同款。</w:t>
      </w:r>
      <w:r/>
    </w:p>
    <w:p>
      <w:pPr>
        <w:ind w:firstLine="482"/>
        <w:spacing w:line="52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注：1.在签订合同时，供应商明确表示无需预付款或者主动要求降低预付款比例的额度，采购人可不适用前述预付款规定；</w:t>
      </w:r>
      <w:r/>
    </w:p>
    <w:p>
      <w:pPr>
        <w:ind w:firstLine="482"/>
        <w:spacing w:line="52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2.每次付款前供应商应当提供合法有效的发票，经采购人审核无误后的10个工作日内一次性付清（无息），否则采购人有权拒绝付款，且不承担延期付款的责任。</w:t>
      </w:r>
      <w:bookmarkEnd w:id="193"/>
      <w:r/>
      <w:r/>
    </w:p>
    <w:p>
      <w:pPr>
        <w:ind w:firstLine="2640"/>
        <w:keepNext/>
        <w:rPr>
          <w:rFonts w:hint="eastAsia" w:ascii="宋体" w:hAnsi="宋体" w:eastAsia="宋体" w:cs="宋体"/>
          <w:bCs/>
          <w:color w:val="auto"/>
          <w:sz w:val="44"/>
          <w:szCs w:val="28"/>
          <w:highlight w:val="none"/>
          <w:lang w:eastAsia="zh-CN"/>
        </w:rPr>
        <w:outlineLvl w:val="0"/>
      </w:pPr>
      <w:r>
        <w:rPr>
          <w:rFonts w:hint="eastAsia" w:ascii="宋体" w:hAnsi="宋体" w:eastAsia="宋体" w:cs="宋体"/>
          <w:bCs/>
          <w:color w:val="auto"/>
          <w:sz w:val="44"/>
          <w:szCs w:val="28"/>
          <w:highlight w:val="none"/>
        </w:rPr>
        <w:br w:type="page" w:clear="all"/>
      </w:r>
      <w:bookmarkStart w:id="194" w:name="_Toc7980"/>
      <w:r>
        <w:rPr>
          <w:rFonts w:hint="eastAsia" w:ascii="宋体" w:hAnsi="宋体" w:eastAsia="宋体" w:cs="宋体"/>
          <w:b/>
          <w:bCs/>
          <w:color w:val="auto"/>
          <w:sz w:val="44"/>
          <w:szCs w:val="44"/>
          <w:highlight w:val="none"/>
        </w:rPr>
        <w:t xml:space="preserve">第三章  合同</w:t>
      </w:r>
      <w:bookmarkEnd w:id="187"/>
      <w:r/>
      <w:bookmarkEnd w:id="188"/>
      <w:r/>
      <w:bookmarkEnd w:id="189"/>
      <w:r/>
      <w:bookmarkEnd w:id="190"/>
      <w:r/>
      <w:bookmarkEnd w:id="191"/>
      <w:r>
        <w:rPr>
          <w:rFonts w:hint="eastAsia" w:ascii="宋体" w:hAnsi="宋体" w:eastAsia="宋体" w:cs="宋体"/>
          <w:b/>
          <w:bCs/>
          <w:color w:val="auto"/>
          <w:sz w:val="44"/>
          <w:szCs w:val="44"/>
          <w:highlight w:val="none"/>
        </w:rPr>
        <w:t xml:space="preserve">文本</w:t>
      </w:r>
      <w:bookmarkEnd w:id="194"/>
      <w:r/>
      <w:r/>
    </w:p>
    <w:p>
      <w:pPr>
        <w:ind w:firstLine="480"/>
        <w:spacing w:line="500" w:lineRule="exact"/>
        <w:rPr>
          <w:rFonts w:hint="eastAsia" w:ascii="宋体" w:hAnsi="宋体" w:eastAsia="宋体" w:cs="宋体"/>
          <w:bCs/>
          <w:color w:val="auto"/>
          <w:sz w:val="24"/>
          <w:szCs w:val="21"/>
          <w:highlight w:val="none"/>
        </w:rPr>
      </w:pPr>
      <w:r/>
      <w:bookmarkStart w:id="195" w:name="_Toc16938559"/>
      <w:r/>
      <w:bookmarkStart w:id="196" w:name="_Toc513029243"/>
      <w:r/>
      <w:bookmarkStart w:id="197" w:name="_Toc20823315"/>
      <w:r>
        <w:rPr>
          <w:rFonts w:hint="eastAsia" w:ascii="宋体" w:hAnsi="宋体" w:eastAsia="宋体" w:cs="宋体"/>
          <w:bCs/>
          <w:color w:val="auto"/>
          <w:sz w:val="24"/>
          <w:szCs w:val="21"/>
          <w:highlight w:val="none"/>
        </w:rPr>
        <w:t xml:space="preserve">以下为成交后签订本项目合同的通用条款，成交供应商不得提出实质性的修改。</w:t>
      </w:r>
      <w:bookmarkEnd w:id="195"/>
      <w:r/>
      <w:bookmarkEnd w:id="196"/>
      <w:r/>
      <w:bookmarkEnd w:id="197"/>
      <w:r/>
      <w:r/>
    </w:p>
    <w:p>
      <w:pPr>
        <w:pStyle w:val="759"/>
        <w:jc w:val="center"/>
        <w:spacing w:before="0" w:beforeAutospacing="0" w:after="0" w:afterAutospacing="0" w:line="480" w:lineRule="auto"/>
        <w:widowControl w:val="off"/>
        <w:rPr>
          <w:rFonts w:hint="eastAsia" w:ascii="宋体" w:hAnsi="宋体" w:eastAsia="宋体" w:cs="宋体"/>
          <w:b/>
          <w:bCs/>
          <w:color w:val="auto"/>
          <w:sz w:val="30"/>
          <w:szCs w:val="30"/>
          <w:highlight w:val="none"/>
        </w:rPr>
      </w:pPr>
      <w:r>
        <w:rPr>
          <w:rFonts w:hint="eastAsia" w:ascii="宋体" w:hAnsi="宋体" w:eastAsia="宋体" w:cs="宋体"/>
          <w:b/>
          <w:bCs/>
          <w:color w:val="auto"/>
          <w:sz w:val="30"/>
          <w:szCs w:val="30"/>
          <w:highlight w:val="none"/>
        </w:rPr>
      </w:r>
      <w:r/>
    </w:p>
    <w:p>
      <w:pPr>
        <w:pStyle w:val="759"/>
        <w:jc w:val="center"/>
        <w:spacing w:before="145" w:beforeAutospacing="0" w:after="145" w:afterAutospacing="0"/>
        <w:rPr>
          <w:rFonts w:hint="eastAsia" w:ascii="宋体" w:hAnsi="宋体" w:eastAsia="宋体" w:cs="宋体"/>
          <w:b/>
          <w:color w:val="auto"/>
          <w:sz w:val="30"/>
          <w:szCs w:val="30"/>
          <w:highlight w:val="none"/>
          <w:lang w:eastAsia="zh-CN"/>
        </w:rPr>
      </w:pPr>
      <w:r/>
      <w:bookmarkStart w:id="198" w:name="_Hlt16619350"/>
      <w:r/>
      <w:bookmarkStart w:id="199" w:name="_Toc120614244"/>
      <w:r/>
      <w:bookmarkStart w:id="200" w:name="_Toc16938590"/>
      <w:r/>
      <w:bookmarkStart w:id="201" w:name="_Toc20823346"/>
      <w:r/>
      <w:bookmarkStart w:id="202" w:name="_Toc479757211"/>
      <w:r/>
      <w:bookmarkStart w:id="203" w:name="_Toc462564139"/>
      <w:r>
        <w:rPr>
          <w:rFonts w:hint="eastAsia" w:ascii="宋体" w:hAnsi="宋体" w:eastAsia="宋体" w:cs="宋体"/>
          <w:b/>
          <w:color w:val="auto"/>
          <w:sz w:val="30"/>
          <w:szCs w:val="30"/>
          <w:highlight w:val="none"/>
          <w:lang w:eastAsia="zh-CN"/>
        </w:rPr>
        <w:t xml:space="preserve">宿迁市市辖区第二轮生物多样性本底调查项目</w:t>
      </w:r>
      <w:r/>
    </w:p>
    <w:p>
      <w:pPr>
        <w:pStyle w:val="759"/>
        <w:jc w:val="center"/>
        <w:spacing w:before="145" w:beforeAutospacing="0" w:after="145" w:afterAutospacing="0"/>
        <w:rPr>
          <w:rFonts w:hint="eastAsia" w:ascii="宋体" w:hAnsi="宋体" w:eastAsia="宋体" w:cs="宋体"/>
          <w:color w:val="auto"/>
          <w:highlight w:val="none"/>
        </w:rPr>
      </w:pPr>
      <w:r>
        <w:rPr>
          <w:rFonts w:hint="eastAsia" w:ascii="宋体" w:hAnsi="宋体" w:eastAsia="宋体" w:cs="宋体"/>
          <w:b/>
          <w:color w:val="auto"/>
          <w:sz w:val="30"/>
          <w:szCs w:val="30"/>
          <w:highlight w:val="none"/>
        </w:rPr>
        <w:t xml:space="preserve">政府采购合同（合同编号）</w:t>
      </w:r>
      <w:r/>
    </w:p>
    <w:p>
      <w:pPr>
        <w:pStyle w:val="759"/>
        <w:ind w:firstLine="480"/>
        <w:jc w:val="both"/>
        <w:keepLines w:val="0"/>
        <w:keepNext w:val="0"/>
        <w:pageBreakBefore w:val="0"/>
        <w:spacing w:before="0" w:beforeAutospacing="0" w:after="0" w:afterAutospacing="0" w:line="5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项目名称：宿迁市市辖区第二轮生物多样性本底调查项目</w:t>
      </w:r>
      <w:r/>
    </w:p>
    <w:p>
      <w:pPr>
        <w:pStyle w:val="759"/>
        <w:ind w:firstLine="480"/>
        <w:jc w:val="both"/>
        <w:keepLines w:val="0"/>
        <w:keepNext w:val="0"/>
        <w:pageBreakBefore w:val="0"/>
        <w:spacing w:before="0" w:beforeAutospacing="0" w:after="0" w:afterAutospacing="0" w:line="5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项目编号：</w:t>
      </w:r>
      <w:r>
        <w:rPr>
          <w:rFonts w:hint="eastAsia" w:cs="宋体"/>
          <w:color w:val="auto"/>
          <w:sz w:val="24"/>
          <w:szCs w:val="24"/>
          <w:highlight w:val="none"/>
          <w:lang w:val="en-US" w:eastAsia="zh-CN" w:bidi="ar-SA"/>
        </w:rPr>
        <w:t xml:space="preserve">JSZC-321300-JSKJ-C2026-0012</w:t>
      </w:r>
      <w:r/>
    </w:p>
    <w:p>
      <w:pPr>
        <w:pStyle w:val="759"/>
        <w:ind w:firstLine="480"/>
        <w:jc w:val="both"/>
        <w:keepLines w:val="0"/>
        <w:keepNext w:val="0"/>
        <w:pageBreakBefore w:val="0"/>
        <w:spacing w:before="0" w:beforeAutospacing="0" w:after="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甲方：（买方）_________</w:t>
      </w:r>
      <w:r/>
    </w:p>
    <w:p>
      <w:pPr>
        <w:pStyle w:val="759"/>
        <w:ind w:firstLine="480"/>
        <w:jc w:val="both"/>
        <w:keepLines w:val="0"/>
        <w:keepNext w:val="0"/>
        <w:pageBreakBefore w:val="0"/>
        <w:spacing w:before="0" w:beforeAutospacing="0" w:after="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乙方：（卖方）_________</w:t>
      </w:r>
      <w:r/>
    </w:p>
    <w:p>
      <w:pPr>
        <w:pStyle w:val="759"/>
        <w:numPr>
          <w:ilvl w:val="0"/>
          <w:numId w:val="1"/>
        </w:numPr>
        <w:ind w:firstLine="480"/>
        <w:jc w:val="both"/>
        <w:keepLines w:val="0"/>
        <w:keepNext w:val="0"/>
        <w:pageBreakBefore w:val="0"/>
        <w:spacing w:before="0" w:beforeAutospacing="0" w:after="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乙双方根据</w:t>
      </w:r>
      <w:r>
        <w:rPr>
          <w:rFonts w:hint="eastAsia" w:ascii="宋体" w:hAnsi="宋体" w:eastAsia="宋体" w:cs="宋体"/>
          <w:color w:val="auto"/>
          <w:highlight w:val="none"/>
          <w:u w:val="single"/>
          <w:lang w:eastAsia="zh-CN"/>
        </w:rPr>
        <w:t xml:space="preserve">宿迁市市辖区第二轮生物多样性本底调查项目</w:t>
      </w:r>
      <w:r>
        <w:rPr>
          <w:rFonts w:hint="eastAsia" w:ascii="宋体" w:hAnsi="宋体" w:eastAsia="宋体" w:cs="宋体"/>
          <w:color w:val="auto"/>
          <w:highlight w:val="none"/>
        </w:rPr>
        <w:t xml:space="preserve">竞争性磋商的结果，签署本合同。</w:t>
      </w:r>
      <w:r/>
    </w:p>
    <w:p>
      <w:pPr>
        <w:pStyle w:val="759"/>
        <w:ind w:firstLine="482"/>
        <w:jc w:val="both"/>
        <w:keepLines w:val="0"/>
        <w:keepNext w:val="0"/>
        <w:pageBreakBefore w:val="0"/>
        <w:spacing w:before="0" w:beforeAutospacing="0" w:after="0" w:afterAutospacing="0" w:line="500" w:lineRule="exact"/>
        <w:widowControl w:val="off"/>
        <w:rPr>
          <w:rFonts w:hint="eastAsia" w:ascii="宋体" w:hAnsi="宋体" w:eastAsia="宋体" w:cs="宋体"/>
          <w:color w:val="auto"/>
          <w:highlight w:val="none"/>
        </w:rPr>
      </w:pPr>
      <w:r>
        <w:rPr>
          <w:rFonts w:hint="eastAsia" w:ascii="宋体" w:hAnsi="宋体" w:eastAsia="宋体" w:cs="宋体"/>
          <w:b/>
          <w:color w:val="auto"/>
          <w:highlight w:val="none"/>
        </w:rPr>
        <w:t xml:space="preserve">一、合同内容</w:t>
      </w:r>
      <w:r/>
    </w:p>
    <w:p>
      <w:pPr>
        <w:pStyle w:val="759"/>
        <w:ind w:firstLine="480"/>
        <w:jc w:val="both"/>
        <w:keepLines w:val="0"/>
        <w:keepNext w:val="0"/>
        <w:pageBreakBefore w:val="0"/>
        <w:spacing w:before="0" w:beforeAutospacing="0" w:after="0" w:afterAutospacing="0" w:line="5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1.1 标的名称：</w:t>
      </w:r>
      <w:r>
        <w:rPr>
          <w:rFonts w:hint="eastAsia" w:ascii="宋体" w:hAnsi="宋体" w:eastAsia="宋体" w:cs="宋体"/>
          <w:color w:val="auto"/>
          <w:sz w:val="24"/>
          <w:szCs w:val="24"/>
          <w:highlight w:val="none"/>
          <w:u w:val="single"/>
          <w:lang w:val="en-US" w:eastAsia="zh-CN" w:bidi="ar-SA"/>
        </w:rPr>
        <w:t xml:space="preserve">宿迁市市辖区第二轮生物多样性本底调查项目</w:t>
      </w:r>
      <w:r/>
    </w:p>
    <w:p>
      <w:pPr>
        <w:pStyle w:val="759"/>
        <w:ind w:firstLine="480"/>
        <w:jc w:val="both"/>
        <w:keepLines w:val="0"/>
        <w:keepNext w:val="0"/>
        <w:pageBreakBefore w:val="0"/>
        <w:spacing w:before="0" w:beforeAutospacing="0" w:after="0" w:afterAutospacing="0" w:line="50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lang w:val="en-US" w:eastAsia="zh-CN" w:bidi="ar-SA"/>
        </w:rPr>
        <w:t xml:space="preserve">1.2 标的质量：</w:t>
      </w:r>
      <w:r>
        <w:rPr>
          <w:rFonts w:hint="eastAsia" w:ascii="宋体" w:hAnsi="宋体" w:eastAsia="宋体" w:cs="宋体"/>
          <w:color w:val="auto"/>
          <w:sz w:val="24"/>
          <w:szCs w:val="24"/>
          <w:highlight w:val="none"/>
          <w:u w:val="single"/>
          <w:lang w:val="en-US" w:eastAsia="zh-CN" w:bidi="ar-SA"/>
        </w:rPr>
        <w:t xml:space="preserve"> 合格。 </w:t>
      </w:r>
      <w:r/>
    </w:p>
    <w:p>
      <w:pPr>
        <w:pStyle w:val="759"/>
        <w:ind w:firstLine="480"/>
        <w:jc w:val="both"/>
        <w:keepLines w:val="0"/>
        <w:keepNext w:val="0"/>
        <w:pageBreakBefore w:val="0"/>
        <w:spacing w:before="0" w:beforeAutospacing="0" w:after="0" w:afterAutospacing="0" w:line="50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lang w:val="en-US" w:eastAsia="zh-CN" w:bidi="ar-SA"/>
        </w:rPr>
        <w:t xml:space="preserve">1.3 标的数量（规模）：</w:t>
      </w:r>
      <w:r>
        <w:rPr>
          <w:rFonts w:hint="eastAsia" w:ascii="宋体" w:hAnsi="宋体" w:eastAsia="宋体" w:cs="宋体"/>
          <w:color w:val="auto"/>
          <w:sz w:val="24"/>
          <w:szCs w:val="24"/>
          <w:highlight w:val="none"/>
          <w:u w:val="single"/>
          <w:lang w:val="en-US" w:eastAsia="zh-CN" w:bidi="ar-SA"/>
        </w:rPr>
        <w:t xml:space="preserve"> 1项 </w:t>
      </w:r>
      <w:r/>
    </w:p>
    <w:p>
      <w:pPr>
        <w:pStyle w:val="759"/>
        <w:ind w:firstLine="480"/>
        <w:jc w:val="both"/>
        <w:keepLines w:val="0"/>
        <w:keepNext w:val="0"/>
        <w:pageBreakBefore w:val="0"/>
        <w:spacing w:before="0" w:beforeAutospacing="0" w:after="0" w:afterAutospacing="0" w:line="50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lang w:val="en-US" w:eastAsia="zh-CN" w:bidi="ar-SA"/>
        </w:rPr>
        <w:t xml:space="preserve">1.4 履行时间（期限）：</w:t>
      </w:r>
      <w:r>
        <w:rPr>
          <w:rFonts w:hint="eastAsia" w:ascii="宋体" w:hAnsi="宋体" w:eastAsia="宋体" w:cs="宋体"/>
          <w:color w:val="auto"/>
          <w:sz w:val="24"/>
          <w:szCs w:val="24"/>
          <w:highlight w:val="none"/>
          <w:u w:val="single"/>
          <w:lang w:val="en-US" w:eastAsia="zh-CN" w:bidi="ar-SA"/>
        </w:rPr>
        <w:t xml:space="preserve">15个月。其中：乙方需在成交后1个月内编制并提交实施方案，成交后12个月内完成野外调查，成交后15个月内编制完成全部成果报告并通过验收。</w:t>
      </w:r>
      <w:r/>
    </w:p>
    <w:p>
      <w:pPr>
        <w:pStyle w:val="759"/>
        <w:ind w:firstLine="480"/>
        <w:jc w:val="both"/>
        <w:keepLines w:val="0"/>
        <w:keepNext w:val="0"/>
        <w:pageBreakBefore w:val="0"/>
        <w:spacing w:before="0" w:beforeAutospacing="0" w:after="0" w:afterAutospacing="0" w:line="50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lang w:val="en-US" w:eastAsia="zh-CN" w:bidi="ar-SA"/>
        </w:rPr>
        <w:t xml:space="preserve">1.5 履行地点：</w:t>
      </w:r>
      <w:r>
        <w:rPr>
          <w:rFonts w:hint="eastAsia" w:ascii="宋体" w:hAnsi="宋体" w:eastAsia="宋体" w:cs="宋体"/>
          <w:color w:val="auto"/>
          <w:sz w:val="24"/>
          <w:szCs w:val="24"/>
          <w:highlight w:val="none"/>
          <w:u w:val="single"/>
          <w:lang w:val="en-US" w:eastAsia="zh-CN" w:bidi="ar-SA"/>
        </w:rPr>
        <w:t xml:space="preserve"> 甲方指定地点。</w:t>
      </w:r>
      <w:r/>
    </w:p>
    <w:p>
      <w:pPr>
        <w:pStyle w:val="759"/>
        <w:ind w:firstLine="480"/>
        <w:jc w:val="both"/>
        <w:keepLines w:val="0"/>
        <w:keepNext w:val="0"/>
        <w:pageBreakBefore w:val="0"/>
        <w:spacing w:before="0" w:beforeAutospacing="0" w:after="0" w:afterAutospacing="0" w:line="500" w:lineRule="exact"/>
        <w:widowControl w:val="off"/>
        <w:rPr>
          <w:rFonts w:hint="eastAsia" w:ascii="宋体" w:hAnsi="宋体" w:eastAsia="宋体" w:cs="宋体"/>
          <w:color w:val="auto"/>
          <w:highlight w:val="none"/>
          <w:u w:val="single"/>
          <w:lang w:val="en-US"/>
        </w:rPr>
      </w:pPr>
      <w:r>
        <w:rPr>
          <w:rFonts w:hint="eastAsia" w:ascii="宋体" w:hAnsi="宋体" w:eastAsia="宋体" w:cs="宋体"/>
          <w:color w:val="auto"/>
          <w:sz w:val="24"/>
          <w:szCs w:val="24"/>
          <w:highlight w:val="none"/>
          <w:lang w:val="en-US" w:eastAsia="zh-CN" w:bidi="ar-SA"/>
        </w:rPr>
        <w:t xml:space="preserve">1.6 履行方式：</w:t>
      </w:r>
      <w:r>
        <w:rPr>
          <w:rFonts w:hint="eastAsia" w:ascii="宋体" w:hAnsi="宋体" w:eastAsia="宋体" w:cs="宋体"/>
          <w:color w:val="auto"/>
          <w:sz w:val="24"/>
          <w:szCs w:val="24"/>
          <w:highlight w:val="none"/>
          <w:u w:val="single"/>
          <w:lang w:val="en-US" w:eastAsia="zh-CN" w:bidi="ar-SA"/>
        </w:rPr>
        <w:t xml:space="preserve"> 根据磋商文件要求和乙方的响应文件和承诺进行服务</w:t>
      </w:r>
      <w:r/>
    </w:p>
    <w:p>
      <w:pPr>
        <w:pStyle w:val="759"/>
        <w:ind w:firstLine="482"/>
        <w:jc w:val="both"/>
        <w:keepLines w:val="0"/>
        <w:keepNext w:val="0"/>
        <w:pageBreakBefore w:val="0"/>
        <w:spacing w:before="0" w:beforeAutospacing="0" w:after="0" w:afterAutospacing="0" w:line="500" w:lineRule="exact"/>
        <w:widowControl w:val="off"/>
        <w:rPr>
          <w:rFonts w:hint="eastAsia" w:ascii="宋体" w:hAnsi="宋体" w:eastAsia="宋体" w:cs="宋体"/>
          <w:color w:val="auto"/>
          <w:highlight w:val="none"/>
        </w:rPr>
      </w:pPr>
      <w:r>
        <w:rPr>
          <w:rFonts w:hint="eastAsia" w:ascii="宋体" w:hAnsi="宋体" w:eastAsia="宋体" w:cs="宋体"/>
          <w:b/>
          <w:color w:val="auto"/>
          <w:highlight w:val="none"/>
        </w:rPr>
        <w:t xml:space="preserve">二、合同金额</w:t>
      </w:r>
      <w:r/>
    </w:p>
    <w:p>
      <w:pPr>
        <w:pStyle w:val="759"/>
        <w:ind w:firstLine="480"/>
        <w:jc w:val="both"/>
        <w:keepLines w:val="0"/>
        <w:keepNext w:val="0"/>
        <w:pageBreakBefore w:val="0"/>
        <w:spacing w:before="0" w:beforeAutospacing="0" w:after="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2.1 本合同金额为（大写）：___________</w:t>
      </w:r>
      <w:r>
        <w:rPr>
          <w:rFonts w:hint="eastAsia" w:ascii="宋体" w:hAnsi="宋体" w:eastAsia="宋体" w:cs="宋体"/>
          <w:color w:val="auto"/>
          <w:highlight w:val="none"/>
          <w:lang w:val="en-US" w:eastAsia="zh-CN"/>
        </w:rPr>
        <w:t xml:space="preserve">元</w:t>
      </w:r>
      <w:r>
        <w:rPr>
          <w:rFonts w:hint="eastAsia" w:ascii="宋体" w:hAnsi="宋体" w:eastAsia="宋体" w:cs="宋体"/>
          <w:color w:val="auto"/>
          <w:highlight w:val="none"/>
        </w:rPr>
        <w:t xml:space="preserve">（__________元）人民币或其他币种。</w:t>
      </w:r>
      <w:r/>
    </w:p>
    <w:p>
      <w:pPr>
        <w:pStyle w:val="759"/>
        <w:ind w:firstLine="480"/>
        <w:jc w:val="both"/>
        <w:keepLines w:val="0"/>
        <w:keepNext w:val="0"/>
        <w:pageBreakBefore w:val="0"/>
        <w:spacing w:before="0" w:beforeAutospacing="0" w:after="0" w:afterAutospacing="0" w:line="500" w:lineRule="exact"/>
        <w:widowControl w:val="off"/>
        <w:rPr>
          <w:rFonts w:hint="eastAsia" w:ascii="宋体" w:hAnsi="宋体" w:eastAsia="宋体" w:cs="宋体"/>
          <w:b/>
          <w:color w:val="auto"/>
          <w:highlight w:val="none"/>
        </w:rPr>
      </w:pPr>
      <w:r>
        <w:rPr>
          <w:rFonts w:hint="eastAsia" w:ascii="宋体" w:hAnsi="宋体" w:eastAsia="宋体" w:cs="宋体"/>
          <w:bCs/>
          <w:color w:val="auto"/>
          <w:highlight w:val="none"/>
        </w:rPr>
        <w:t xml:space="preserve">合同总价</w:t>
      </w:r>
      <w:r>
        <w:rPr>
          <w:rFonts w:hint="eastAsia" w:ascii="宋体" w:hAnsi="宋体" w:eastAsia="宋体" w:cs="宋体"/>
          <w:bCs/>
          <w:color w:val="auto"/>
          <w:sz w:val="24"/>
          <w:szCs w:val="24"/>
          <w:highlight w:val="none"/>
        </w:rPr>
        <w:t xml:space="preserve">包括完成该项目的成本、设备费、人工费、利润、税金、技术措施费、资料增加成本费、风险费、管理费、技术培训、咨询、市场风险及政策性调整及合同包含的所有风险、责任等所有费用。</w:t>
      </w:r>
      <w:r/>
    </w:p>
    <w:p>
      <w:pPr>
        <w:pStyle w:val="759"/>
        <w:ind w:firstLine="482"/>
        <w:jc w:val="both"/>
        <w:keepLines w:val="0"/>
        <w:keepNext w:val="0"/>
        <w:pageBreakBefore w:val="0"/>
        <w:spacing w:before="0" w:beforeAutospacing="0" w:after="0" w:afterAutospacing="0" w:line="500" w:lineRule="exact"/>
        <w:widowControl w:val="off"/>
        <w:rPr>
          <w:rFonts w:hint="eastAsia" w:ascii="宋体" w:hAnsi="宋体" w:eastAsia="宋体" w:cs="宋体"/>
          <w:color w:val="auto"/>
          <w:highlight w:val="none"/>
        </w:rPr>
      </w:pPr>
      <w:r>
        <w:rPr>
          <w:rFonts w:hint="eastAsia" w:ascii="宋体" w:hAnsi="宋体" w:eastAsia="宋体" w:cs="宋体"/>
          <w:b/>
          <w:color w:val="auto"/>
          <w:highlight w:val="none"/>
        </w:rPr>
        <w:t xml:space="preserve">三、技术资料</w:t>
      </w:r>
      <w:r/>
    </w:p>
    <w:p>
      <w:pPr>
        <w:pStyle w:val="759"/>
        <w:ind w:firstLine="480"/>
        <w:jc w:val="both"/>
        <w:keepLines w:val="0"/>
        <w:keepNext w:val="0"/>
        <w:pageBreakBefore w:val="0"/>
        <w:spacing w:before="0" w:beforeAutospacing="0" w:after="0" w:afterAutospacing="0" w:line="500" w:lineRule="exact"/>
        <w:widowControl w:val="off"/>
        <w:rPr>
          <w:rFonts w:hint="eastAsia" w:ascii="宋体" w:hAnsi="宋体" w:eastAsia="宋体" w:cs="宋体"/>
          <w:color w:val="auto"/>
          <w:highlight w:val="none"/>
          <w:shd w:val="clear" w:color="auto" w:fill="auto"/>
          <w:lang w:val="en-US" w:eastAsia="zh-CN"/>
        </w:rPr>
      </w:pPr>
      <w:r>
        <w:rPr>
          <w:rFonts w:hint="eastAsia" w:ascii="宋体" w:hAnsi="宋体" w:eastAsia="宋体" w:cs="宋体"/>
          <w:color w:val="auto"/>
          <w:highlight w:val="none"/>
          <w:shd w:val="clear" w:color="auto" w:fill="auto"/>
          <w:lang w:val="en-US" w:eastAsia="zh-CN"/>
        </w:rPr>
        <w:t xml:space="preserve">3.1乙方应按磋商文件规定的时间向甲方提供与合同标的有关的技术资料。</w:t>
      </w:r>
      <w:r/>
    </w:p>
    <w:p>
      <w:pPr>
        <w:pStyle w:val="759"/>
        <w:ind w:firstLine="480"/>
        <w:jc w:val="both"/>
        <w:keepLines w:val="0"/>
        <w:keepNext w:val="0"/>
        <w:pageBreakBefore w:val="0"/>
        <w:spacing w:before="0" w:beforeAutospacing="0" w:after="0" w:afterAutospacing="0" w:line="5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highlight w:val="none"/>
          <w:shd w:val="clear" w:color="auto" w:fill="auto"/>
          <w:lang w:val="en-US" w:eastAsia="zh-CN"/>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759"/>
        <w:ind w:firstLine="482"/>
        <w:jc w:val="both"/>
        <w:keepLines w:val="0"/>
        <w:keepNext w:val="0"/>
        <w:pageBreakBefore w:val="0"/>
        <w:spacing w:before="0" w:beforeAutospacing="0" w:after="0" w:afterAutospacing="0" w:line="500" w:lineRule="exact"/>
        <w:widowControl w:val="off"/>
        <w:rPr>
          <w:rFonts w:hint="eastAsia" w:ascii="宋体" w:hAnsi="宋体" w:eastAsia="宋体" w:cs="宋体"/>
          <w:color w:val="auto"/>
          <w:highlight w:val="none"/>
          <w:shd w:val="clear" w:color="auto" w:fill="auto"/>
        </w:rPr>
      </w:pPr>
      <w:r>
        <w:rPr>
          <w:rFonts w:hint="eastAsia" w:ascii="宋体" w:hAnsi="宋体" w:eastAsia="宋体" w:cs="宋体"/>
          <w:b/>
          <w:color w:val="auto"/>
          <w:highlight w:val="none"/>
        </w:rPr>
        <w:t xml:space="preserve">四、知</w:t>
      </w:r>
      <w:r>
        <w:rPr>
          <w:rFonts w:hint="eastAsia" w:ascii="宋体" w:hAnsi="宋体" w:eastAsia="宋体" w:cs="宋体"/>
          <w:b/>
          <w:color w:val="auto"/>
          <w:highlight w:val="none"/>
          <w:shd w:val="clear" w:color="auto" w:fill="auto"/>
        </w:rPr>
        <w:t xml:space="preserve">识产权</w:t>
      </w:r>
      <w:r/>
    </w:p>
    <w:p>
      <w:pPr>
        <w:pStyle w:val="759"/>
        <w:ind w:firstLine="480"/>
        <w:jc w:val="both"/>
        <w:keepLines w:val="0"/>
        <w:keepNext w:val="0"/>
        <w:pageBreakBefore w:val="0"/>
        <w:spacing w:before="0" w:beforeAutospacing="0" w:after="0" w:afterAutospacing="0" w:line="500" w:lineRule="exact"/>
        <w:widowControl w:val="off"/>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4.1乙方应保证甲方在使用、接受本合同标的或其任何一部分时不受第三方提出侵犯其专利权、版权、商标权和工业设计权等知识产权的起诉。一旦出现侵权，由乙方负全部责任。</w:t>
      </w:r>
      <w:r/>
    </w:p>
    <w:p>
      <w:pPr>
        <w:pStyle w:val="759"/>
        <w:ind w:firstLine="482"/>
        <w:jc w:val="both"/>
        <w:keepLines w:val="0"/>
        <w:keepNext w:val="0"/>
        <w:pageBreakBefore w:val="0"/>
        <w:spacing w:before="0" w:beforeAutospacing="0" w:after="0" w:afterAutospacing="0" w:line="500" w:lineRule="exact"/>
        <w:widowControl w:val="off"/>
        <w:rPr>
          <w:rFonts w:hint="eastAsia" w:ascii="宋体" w:hAnsi="宋体" w:eastAsia="宋体" w:cs="宋体"/>
          <w:color w:val="auto"/>
          <w:highlight w:val="none"/>
          <w:shd w:val="clear" w:color="auto" w:fill="auto"/>
        </w:rPr>
      </w:pPr>
      <w:r>
        <w:rPr>
          <w:rFonts w:hint="eastAsia" w:ascii="宋体" w:hAnsi="宋体" w:eastAsia="宋体" w:cs="宋体"/>
          <w:b/>
          <w:color w:val="auto"/>
          <w:highlight w:val="none"/>
          <w:shd w:val="clear" w:color="auto" w:fill="auto"/>
        </w:rPr>
        <w:t xml:space="preserve">五、产权担保</w:t>
      </w:r>
      <w:r/>
    </w:p>
    <w:p>
      <w:pPr>
        <w:pStyle w:val="759"/>
        <w:ind w:firstLine="480"/>
        <w:jc w:val="both"/>
        <w:keepLines w:val="0"/>
        <w:keepNext w:val="0"/>
        <w:pageBreakBefore w:val="0"/>
        <w:spacing w:before="0" w:beforeAutospacing="0" w:after="0" w:afterAutospacing="0" w:line="500" w:lineRule="exact"/>
        <w:widowControl w:val="off"/>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5.1 乙方保证所交付的合同标的的所有权完全属于乙方且无任何抵押、查封等产权瑕疵。</w:t>
      </w:r>
      <w:r/>
    </w:p>
    <w:p>
      <w:pPr>
        <w:pStyle w:val="759"/>
        <w:ind w:firstLine="482"/>
        <w:jc w:val="both"/>
        <w:keepLines w:val="0"/>
        <w:keepNext w:val="0"/>
        <w:pageBreakBefore w:val="0"/>
        <w:spacing w:before="0" w:beforeAutospacing="0" w:after="0" w:afterAutospacing="0" w:line="500" w:lineRule="exact"/>
        <w:widowControl w:val="off"/>
        <w:rPr>
          <w:rFonts w:hint="eastAsia" w:ascii="宋体" w:hAnsi="宋体" w:eastAsia="宋体" w:cs="宋体"/>
          <w:color w:val="auto"/>
          <w:highlight w:val="none"/>
          <w:shd w:val="clear" w:color="auto" w:fill="auto"/>
        </w:rPr>
      </w:pPr>
      <w:r>
        <w:rPr>
          <w:rFonts w:hint="eastAsia" w:ascii="宋体" w:hAnsi="宋体" w:eastAsia="宋体" w:cs="宋体"/>
          <w:b/>
          <w:color w:val="auto"/>
          <w:highlight w:val="none"/>
          <w:shd w:val="clear" w:color="auto" w:fill="auto"/>
        </w:rPr>
        <w:t xml:space="preserve">六、履约保证金</w:t>
      </w:r>
      <w:r/>
    </w:p>
    <w:p>
      <w:pPr>
        <w:ind w:firstLine="480"/>
        <w:spacing w:line="480" w:lineRule="exact"/>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6.1本项目不收取</w:t>
      </w:r>
      <w:r>
        <w:rPr>
          <w:rFonts w:hint="eastAsia" w:ascii="宋体" w:hAnsi="宋体" w:eastAsia="宋体" w:cs="宋体"/>
          <w:color w:val="auto"/>
          <w:sz w:val="24"/>
          <w:highlight w:val="none"/>
        </w:rPr>
        <w:t xml:space="preserve">履约保证金。</w:t>
      </w:r>
      <w:r/>
    </w:p>
    <w:p>
      <w:pPr>
        <w:pStyle w:val="759"/>
        <w:ind w:firstLine="482"/>
        <w:jc w:val="both"/>
        <w:keepLines w:val="0"/>
        <w:keepNext w:val="0"/>
        <w:pageBreakBefore w:val="0"/>
        <w:spacing w:before="0" w:beforeAutospacing="0" w:after="0" w:afterAutospacing="0" w:line="500" w:lineRule="exact"/>
        <w:widowControl w:val="off"/>
        <w:rPr>
          <w:rFonts w:hint="eastAsia" w:ascii="宋体" w:hAnsi="宋体" w:eastAsia="宋体" w:cs="宋体"/>
          <w:color w:val="auto"/>
          <w:highlight w:val="none"/>
          <w:shd w:val="clear" w:color="auto" w:fill="auto"/>
        </w:rPr>
      </w:pPr>
      <w:r>
        <w:rPr>
          <w:rFonts w:hint="eastAsia" w:ascii="宋体" w:hAnsi="宋体" w:eastAsia="宋体" w:cs="宋体"/>
          <w:b/>
          <w:color w:val="auto"/>
          <w:highlight w:val="none"/>
          <w:shd w:val="clear" w:color="auto" w:fill="auto"/>
        </w:rPr>
        <w:t xml:space="preserve">七、合同转包或分包</w:t>
      </w:r>
      <w:r/>
    </w:p>
    <w:p>
      <w:pPr>
        <w:pStyle w:val="759"/>
        <w:ind w:firstLine="480"/>
        <w:jc w:val="both"/>
        <w:keepLines w:val="0"/>
        <w:keepNext w:val="0"/>
        <w:pageBreakBefore w:val="0"/>
        <w:spacing w:before="0" w:beforeAutospacing="0" w:after="0" w:afterAutospacing="0" w:line="500" w:lineRule="exact"/>
        <w:widowControl w:val="off"/>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7.1乙方不得将合同标的转包给他人履行。</w:t>
      </w:r>
      <w:r/>
    </w:p>
    <w:p>
      <w:pPr>
        <w:pStyle w:val="759"/>
        <w:ind w:firstLine="480"/>
        <w:jc w:val="both"/>
        <w:keepLines w:val="0"/>
        <w:keepNext w:val="0"/>
        <w:pageBreakBefore w:val="0"/>
        <w:spacing w:before="0" w:beforeAutospacing="0" w:after="0" w:afterAutospacing="0" w:line="500" w:lineRule="exact"/>
        <w:widowControl w:val="off"/>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7.2乙方不得将</w:t>
      </w:r>
      <w:r>
        <w:rPr>
          <w:rFonts w:hint="eastAsia" w:ascii="宋体" w:hAnsi="宋体" w:eastAsia="宋体" w:cs="宋体"/>
          <w:color w:val="auto"/>
          <w:highlight w:val="none"/>
          <w:shd w:val="clear" w:color="auto" w:fill="auto"/>
          <w:lang w:val="en-US" w:eastAsia="zh-CN"/>
        </w:rPr>
        <w:t xml:space="preserve">未经甲方同意的</w:t>
      </w:r>
      <w:r>
        <w:rPr>
          <w:rFonts w:hint="eastAsia" w:ascii="宋体" w:hAnsi="宋体" w:eastAsia="宋体" w:cs="宋体"/>
          <w:color w:val="auto"/>
          <w:highlight w:val="none"/>
          <w:shd w:val="clear" w:color="auto" w:fill="auto"/>
        </w:rPr>
        <w:t xml:space="preserve">合同标的分包给他人履行。</w:t>
      </w:r>
      <w:r/>
    </w:p>
    <w:p>
      <w:pPr>
        <w:pStyle w:val="759"/>
        <w:ind w:firstLine="480"/>
        <w:jc w:val="both"/>
        <w:keepLines w:val="0"/>
        <w:keepNext w:val="0"/>
        <w:pageBreakBefore w:val="0"/>
        <w:spacing w:before="0" w:beforeAutospacing="0" w:after="0" w:afterAutospacing="0" w:line="500" w:lineRule="exact"/>
        <w:widowControl w:val="off"/>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7.3乙方如有转包或未经甲方同意的分包行为，甲方有权解除合同。</w:t>
      </w:r>
      <w:r/>
    </w:p>
    <w:p>
      <w:pPr>
        <w:pStyle w:val="759"/>
        <w:ind w:firstLine="482"/>
        <w:jc w:val="both"/>
        <w:keepLines w:val="0"/>
        <w:keepNext w:val="0"/>
        <w:pageBreakBefore w:val="0"/>
        <w:spacing w:before="0" w:beforeAutospacing="0" w:after="0" w:afterAutospacing="0" w:line="500" w:lineRule="exact"/>
        <w:widowControl w:val="off"/>
        <w:rPr>
          <w:rFonts w:hint="eastAsia" w:ascii="宋体" w:hAnsi="宋体" w:eastAsia="宋体" w:cs="宋体"/>
          <w:color w:val="auto"/>
          <w:highlight w:val="none"/>
          <w:shd w:val="clear" w:color="auto" w:fill="auto"/>
        </w:rPr>
      </w:pPr>
      <w:r>
        <w:rPr>
          <w:rFonts w:hint="eastAsia" w:ascii="宋体" w:hAnsi="宋体" w:eastAsia="宋体" w:cs="宋体"/>
          <w:b/>
          <w:color w:val="auto"/>
          <w:highlight w:val="none"/>
          <w:shd w:val="clear" w:color="auto" w:fill="auto"/>
        </w:rPr>
        <w:t xml:space="preserve">八、合同款项支付</w:t>
      </w:r>
      <w:r/>
    </w:p>
    <w:p>
      <w:pPr>
        <w:pStyle w:val="759"/>
        <w:ind w:firstLine="482"/>
        <w:jc w:val="both"/>
        <w:keepLines w:val="0"/>
        <w:keepNext w:val="0"/>
        <w:pageBreakBefore w:val="0"/>
        <w:spacing w:before="0" w:beforeAutospacing="0" w:after="0" w:afterAutospacing="0" w:line="500" w:lineRule="exact"/>
        <w:widowControl w:val="off"/>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8.1合同款项的支付方式及进度安排</w:t>
      </w:r>
      <w:r/>
    </w:p>
    <w:p>
      <w:pPr>
        <w:ind w:firstLine="482"/>
        <w:spacing w:line="500" w:lineRule="exact"/>
        <w:rPr>
          <w:rFonts w:hint="eastAsia" w:ascii="宋体" w:hAnsi="宋体" w:eastAsia="宋体" w:cs="宋体"/>
          <w:b/>
          <w:strike w:val="0"/>
          <w:color w:val="auto"/>
          <w:sz w:val="24"/>
          <w:highlight w:val="none"/>
        </w:rPr>
      </w:pPr>
      <w:r>
        <w:rPr>
          <w:rFonts w:hint="eastAsia" w:ascii="宋体" w:hAnsi="宋体" w:eastAsia="宋体" w:cs="宋体"/>
          <w:b/>
          <w:strike w:val="0"/>
          <w:color w:val="auto"/>
          <w:sz w:val="24"/>
          <w:highlight w:val="none"/>
        </w:rPr>
        <w:t xml:space="preserve">对于满足合同约定支付条件的，自收到发票后10个工作日内将资金支付到合同约定的乙方账户或乙方数字人民币账户。</w:t>
      </w:r>
      <w:r/>
    </w:p>
    <w:p>
      <w:pPr>
        <w:ind w:firstLine="482"/>
        <w:spacing w:line="52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预付款：合同签订后支付签约合同价的</w:t>
      </w:r>
      <w:r>
        <w:rPr>
          <w:rFonts w:hint="eastAsia" w:ascii="宋体" w:hAnsi="宋体" w:eastAsia="宋体" w:cs="宋体"/>
          <w:bCs/>
          <w:color w:val="auto"/>
          <w:sz w:val="24"/>
          <w:szCs w:val="24"/>
          <w:highlight w:val="none"/>
          <w:lang w:val="en-US" w:eastAsia="zh-CN"/>
        </w:rPr>
        <w:t xml:space="preserve">40</w:t>
      </w:r>
      <w:r>
        <w:rPr>
          <w:rFonts w:hint="eastAsia" w:ascii="宋体" w:hAnsi="宋体" w:eastAsia="宋体" w:cs="宋体"/>
          <w:bCs/>
          <w:color w:val="auto"/>
          <w:sz w:val="24"/>
          <w:szCs w:val="24"/>
          <w:highlight w:val="none"/>
        </w:rPr>
        <w:t xml:space="preserve">%作为预付款；付款前供应商应向采购人提供同等金额的预付款保函(保函内容及格式须符合采购人要求)；</w:t>
      </w:r>
      <w:r/>
    </w:p>
    <w:p>
      <w:pPr>
        <w:ind w:firstLine="482"/>
        <w:spacing w:line="52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进度款：项目完成所有外业调查工作</w:t>
      </w:r>
      <w:r>
        <w:rPr>
          <w:rFonts w:hint="eastAsia" w:ascii="宋体" w:hAnsi="宋体" w:eastAsia="宋体" w:cs="宋体"/>
          <w:bCs/>
          <w:color w:val="auto"/>
          <w:sz w:val="24"/>
          <w:szCs w:val="24"/>
          <w:highlight w:val="none"/>
          <w:lang w:val="en-US" w:eastAsia="zh-CN"/>
        </w:rPr>
        <w:t xml:space="preserve">并收到供应商发票</w:t>
      </w:r>
      <w:r>
        <w:rPr>
          <w:rFonts w:hint="eastAsia" w:ascii="宋体" w:hAnsi="宋体" w:eastAsia="宋体" w:cs="宋体"/>
          <w:bCs/>
          <w:color w:val="auto"/>
          <w:sz w:val="24"/>
          <w:szCs w:val="24"/>
          <w:highlight w:val="none"/>
        </w:rPr>
        <w:t xml:space="preserve">后10个工作日内，支付合同总价的30%</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项目通过验收后</w:t>
      </w:r>
      <w:r>
        <w:rPr>
          <w:rFonts w:hint="eastAsia" w:ascii="宋体" w:hAnsi="宋体" w:eastAsia="宋体" w:cs="宋体"/>
          <w:bCs/>
          <w:color w:val="auto"/>
          <w:sz w:val="24"/>
          <w:szCs w:val="24"/>
          <w:highlight w:val="none"/>
          <w:lang w:val="en-US" w:eastAsia="zh-CN"/>
        </w:rPr>
        <w:t xml:space="preserve">并收到供应商发票</w:t>
      </w:r>
      <w:r>
        <w:rPr>
          <w:rFonts w:hint="eastAsia" w:ascii="宋体" w:hAnsi="宋体" w:eastAsia="宋体" w:cs="宋体"/>
          <w:bCs/>
          <w:color w:val="auto"/>
          <w:sz w:val="24"/>
          <w:szCs w:val="24"/>
          <w:highlight w:val="none"/>
        </w:rPr>
        <w:t xml:space="preserve">10个工作日内，一次性支付剩余合同款。</w:t>
      </w:r>
      <w:r/>
    </w:p>
    <w:p>
      <w:pPr>
        <w:pStyle w:val="1108"/>
        <w:ind w:firstLine="482"/>
        <w:spacing w:line="500" w:lineRule="exact"/>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highlight w:val="none"/>
          <w:lang w:val="zh-CN"/>
        </w:rPr>
        <w:t xml:space="preserve">备注：</w:t>
      </w:r>
      <w:r>
        <w:rPr>
          <w:rFonts w:hint="eastAsia" w:ascii="宋体" w:hAnsi="宋体" w:eastAsia="宋体" w:cs="宋体"/>
          <w:b/>
          <w:color w:val="auto"/>
          <w:sz w:val="24"/>
          <w:highlight w:val="none"/>
          <w:lang w:val="en-US" w:eastAsia="zh-CN"/>
        </w:rPr>
        <w:t xml:space="preserve">1.</w:t>
      </w:r>
      <w:r>
        <w:rPr>
          <w:rFonts w:hint="eastAsia" w:ascii="宋体" w:hAnsi="宋体" w:eastAsia="宋体" w:cs="宋体"/>
          <w:b/>
          <w:color w:val="auto"/>
          <w:sz w:val="24"/>
          <w:szCs w:val="24"/>
          <w:highlight w:val="none"/>
        </w:rPr>
        <w:t xml:space="preserve">在签订合同时，乙方明确表示无需预付款或者主动要求降低预付款比例的，甲方可不适用前述规定</w:t>
      </w:r>
      <w:r>
        <w:rPr>
          <w:rFonts w:hint="eastAsia" w:ascii="宋体" w:hAnsi="宋体" w:eastAsia="宋体" w:cs="宋体"/>
          <w:b/>
          <w:color w:val="auto"/>
          <w:sz w:val="24"/>
          <w:szCs w:val="24"/>
          <w:highlight w:val="none"/>
          <w:lang w:eastAsia="zh-CN"/>
        </w:rPr>
        <w:t xml:space="preserve">；</w:t>
      </w:r>
      <w:r/>
    </w:p>
    <w:p>
      <w:pPr>
        <w:pStyle w:val="1108"/>
        <w:ind w:firstLine="482"/>
        <w:spacing w:line="500" w:lineRule="exact"/>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 xml:space="preserve">2.每次付款前乙方应当提供合法有效的发票，经甲方审核无误后的10个工作日内一次性付清</w:t>
      </w:r>
      <w:r>
        <w:rPr>
          <w:rFonts w:hint="eastAsia" w:ascii="宋体" w:hAnsi="宋体" w:eastAsia="宋体" w:cs="宋体"/>
          <w:b/>
          <w:bCs/>
          <w:color w:val="auto"/>
          <w:sz w:val="24"/>
          <w:szCs w:val="24"/>
          <w:highlight w:val="none"/>
        </w:rPr>
        <w:t xml:space="preserve">（无息）</w:t>
      </w:r>
      <w:r>
        <w:rPr>
          <w:rFonts w:hint="eastAsia" w:ascii="宋体" w:hAnsi="宋体" w:eastAsia="宋体" w:cs="宋体"/>
          <w:b/>
          <w:color w:val="auto"/>
          <w:sz w:val="24"/>
          <w:szCs w:val="24"/>
          <w:highlight w:val="none"/>
          <w:lang w:val="en-US" w:eastAsia="zh-CN"/>
        </w:rPr>
        <w:t xml:space="preserve">，否则甲方有权拒绝付款，且不承担延期付款的责任。</w:t>
      </w:r>
      <w:r/>
    </w:p>
    <w:p>
      <w:pPr>
        <w:pStyle w:val="759"/>
        <w:ind w:firstLine="482"/>
        <w:jc w:val="both"/>
        <w:keepLines w:val="0"/>
        <w:keepNext w:val="0"/>
        <w:pageBreakBefore w:val="0"/>
        <w:spacing w:before="0" w:beforeAutospacing="0" w:after="0" w:afterAutospacing="0" w:line="500" w:lineRule="exact"/>
        <w:widowControl w:val="off"/>
        <w:rPr>
          <w:rFonts w:hint="eastAsia" w:ascii="宋体" w:hAnsi="宋体" w:eastAsia="宋体" w:cs="宋体"/>
          <w:color w:val="auto"/>
          <w:highlight w:val="none"/>
          <w:shd w:val="clear" w:color="auto" w:fill="auto"/>
        </w:rPr>
      </w:pPr>
      <w:r>
        <w:rPr>
          <w:rFonts w:hint="eastAsia" w:ascii="宋体" w:hAnsi="宋体" w:eastAsia="宋体" w:cs="宋体"/>
          <w:b/>
          <w:color w:val="auto"/>
          <w:highlight w:val="none"/>
          <w:shd w:val="clear" w:color="auto" w:fill="auto"/>
        </w:rPr>
        <w:t xml:space="preserve">九、税费</w:t>
      </w:r>
      <w:r/>
    </w:p>
    <w:p>
      <w:pPr>
        <w:pStyle w:val="759"/>
        <w:ind w:firstLine="480"/>
        <w:jc w:val="both"/>
        <w:keepLines w:val="0"/>
        <w:keepNext w:val="0"/>
        <w:pageBreakBefore w:val="0"/>
        <w:spacing w:before="0" w:beforeAutospacing="0" w:after="0" w:afterAutospacing="0" w:line="500" w:lineRule="exact"/>
        <w:widowControl w:val="off"/>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9.1本合同执行中相关的一切税费均由乙方负担。</w:t>
      </w:r>
      <w:r/>
    </w:p>
    <w:p>
      <w:pPr>
        <w:pStyle w:val="759"/>
        <w:ind w:firstLine="482"/>
        <w:jc w:val="both"/>
        <w:keepLines w:val="0"/>
        <w:keepNext w:val="0"/>
        <w:pageBreakBefore w:val="0"/>
        <w:spacing w:before="0" w:beforeAutospacing="0" w:after="0" w:afterAutospacing="0" w:line="500" w:lineRule="exact"/>
        <w:widowControl w:val="off"/>
        <w:rPr>
          <w:rFonts w:hint="eastAsia" w:ascii="宋体" w:hAnsi="宋体" w:eastAsia="宋体" w:cs="宋体"/>
          <w:color w:val="auto"/>
          <w:highlight w:val="none"/>
          <w:shd w:val="clear" w:color="auto" w:fill="auto"/>
        </w:rPr>
      </w:pPr>
      <w:r>
        <w:rPr>
          <w:rFonts w:hint="eastAsia" w:ascii="宋体" w:hAnsi="宋体" w:eastAsia="宋体" w:cs="宋体"/>
          <w:b/>
          <w:color w:val="auto"/>
          <w:highlight w:val="none"/>
          <w:shd w:val="clear" w:color="auto" w:fill="auto"/>
        </w:rPr>
        <w:t xml:space="preserve">十、项目验收</w:t>
      </w:r>
      <w:r/>
    </w:p>
    <w:p>
      <w:pPr>
        <w:pStyle w:val="759"/>
        <w:ind w:firstLine="480"/>
        <w:jc w:val="both"/>
        <w:keepLines w:val="0"/>
        <w:keepNext w:val="0"/>
        <w:pageBreakBefore w:val="0"/>
        <w:spacing w:before="0" w:beforeAutospacing="0" w:after="0" w:afterAutospacing="0" w:line="500" w:lineRule="exact"/>
        <w:widowControl w:val="off"/>
        <w:rPr>
          <w:rFonts w:hint="eastAsia" w:ascii="宋体" w:hAnsi="宋体" w:eastAsia="宋体" w:cs="宋体"/>
          <w:color w:val="auto"/>
          <w:highlight w:val="none"/>
          <w:shd w:val="clear" w:color="auto" w:fill="auto"/>
          <w:lang w:val="en-US" w:eastAsia="zh-CN"/>
        </w:rPr>
      </w:pPr>
      <w:r>
        <w:rPr>
          <w:rFonts w:hint="eastAsia" w:ascii="宋体" w:hAnsi="宋体" w:eastAsia="宋体" w:cs="宋体"/>
          <w:color w:val="auto"/>
          <w:highlight w:val="none"/>
          <w:shd w:val="clear" w:color="auto" w:fill="auto"/>
          <w:lang w:val="en-US" w:eastAsia="zh-CN"/>
        </w:rPr>
        <w:t xml:space="preserve">10.1乙方按合同约定完成服务，在服务完成后向甲方提出验收申请，甲方接到申请后原则上在7日内按照要求组织验收。</w:t>
      </w:r>
      <w:r/>
    </w:p>
    <w:p>
      <w:pPr>
        <w:pStyle w:val="759"/>
        <w:ind w:firstLine="480"/>
        <w:jc w:val="both"/>
        <w:keepLines w:val="0"/>
        <w:keepNext w:val="0"/>
        <w:pageBreakBefore w:val="0"/>
        <w:spacing w:before="0" w:beforeAutospacing="0" w:after="0" w:afterAutospacing="0" w:line="500" w:lineRule="exact"/>
        <w:widowControl w:val="off"/>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lang w:val="en-US" w:eastAsia="zh-CN"/>
        </w:rPr>
        <w:t xml:space="preserve">10.2验收方法及标准：本项目验收工作由甲方根据项目合同书、响应文件，以甲方比照验核的方式进行，主要验收项目是否完整、规范执行，评价项目实施规范性、质量管理措施健全有效性等。</w:t>
      </w:r>
      <w:r/>
    </w:p>
    <w:p>
      <w:pPr>
        <w:pStyle w:val="759"/>
        <w:ind w:firstLine="480"/>
        <w:jc w:val="both"/>
        <w:keepLines w:val="0"/>
        <w:keepNext w:val="0"/>
        <w:pageBreakBefore w:val="0"/>
        <w:spacing w:before="0" w:beforeAutospacing="0" w:after="0" w:afterAutospacing="0" w:line="500" w:lineRule="exact"/>
        <w:widowControl w:val="off"/>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10.</w:t>
      </w:r>
      <w:r>
        <w:rPr>
          <w:rFonts w:hint="eastAsia" w:ascii="宋体" w:hAnsi="宋体" w:eastAsia="宋体" w:cs="宋体"/>
          <w:color w:val="auto"/>
          <w:highlight w:val="none"/>
          <w:shd w:val="clear" w:color="auto" w:fill="auto"/>
          <w:lang w:val="en-US" w:eastAsia="zh-CN"/>
        </w:rPr>
        <w:t xml:space="preserve">3</w:t>
      </w:r>
      <w:r>
        <w:rPr>
          <w:rFonts w:hint="eastAsia" w:ascii="宋体" w:hAnsi="宋体" w:eastAsia="宋体" w:cs="宋体"/>
          <w:color w:val="auto"/>
          <w:highlight w:val="none"/>
          <w:shd w:val="clear" w:color="auto" w:fill="auto"/>
        </w:rPr>
        <w:t xml:space="preserve"> 验收合格的项目,甲方根据采购合同的约定及时向乙方支付合同款项、退还履约保证金。验收不合格的项目，甲方依法及时处理。采购合同的履行、违约责任和解决争议的方式等适用《</w:t>
      </w:r>
      <w:r>
        <w:rPr>
          <w:rFonts w:hint="eastAsia" w:ascii="宋体" w:hAnsi="宋体" w:eastAsia="宋体" w:cs="宋体"/>
          <w:color w:val="auto"/>
          <w:highlight w:val="none"/>
          <w:shd w:val="clear" w:color="auto" w:fill="auto"/>
          <w:lang w:val="en-US" w:eastAsia="zh-CN"/>
        </w:rPr>
        <w:t xml:space="preserve">中华人民共和国</w:t>
      </w:r>
      <w:r>
        <w:rPr>
          <w:rFonts w:hint="eastAsia" w:ascii="宋体" w:hAnsi="宋体" w:eastAsia="宋体" w:cs="宋体"/>
          <w:color w:val="auto"/>
          <w:highlight w:val="none"/>
          <w:shd w:val="clear" w:color="auto" w:fill="auto"/>
        </w:rPr>
        <w:t xml:space="preserve">民法典》。乙方在履约过程中有政府采购法律法规规定的违法违规情形的,甲方将及时报告本级财政部门。</w:t>
      </w:r>
      <w:r/>
    </w:p>
    <w:p>
      <w:pPr>
        <w:pStyle w:val="759"/>
        <w:ind w:firstLine="482"/>
        <w:jc w:val="both"/>
        <w:keepLines w:val="0"/>
        <w:keepNext w:val="0"/>
        <w:pageBreakBefore w:val="0"/>
        <w:spacing w:before="0" w:beforeAutospacing="0" w:after="0" w:afterAutospacing="0" w:line="500" w:lineRule="exact"/>
        <w:widowControl w:val="off"/>
        <w:rPr>
          <w:rFonts w:hint="eastAsia" w:ascii="宋体" w:hAnsi="宋体" w:eastAsia="宋体" w:cs="宋体"/>
          <w:b/>
          <w:color w:val="auto"/>
          <w:highlight w:val="none"/>
        </w:rPr>
      </w:pPr>
      <w:r>
        <w:rPr>
          <w:rFonts w:hint="eastAsia" w:ascii="宋体" w:hAnsi="宋体" w:eastAsia="宋体" w:cs="宋体"/>
          <w:b/>
          <w:color w:val="auto"/>
          <w:highlight w:val="none"/>
        </w:rPr>
        <w:t xml:space="preserve">十</w:t>
      </w:r>
      <w:r>
        <w:rPr>
          <w:rFonts w:hint="eastAsia" w:ascii="宋体" w:hAnsi="宋体" w:eastAsia="宋体" w:cs="宋体"/>
          <w:b/>
          <w:color w:val="auto"/>
          <w:highlight w:val="none"/>
          <w:lang w:eastAsia="zh-CN"/>
        </w:rPr>
        <w:t xml:space="preserve">一</w:t>
      </w:r>
      <w:r>
        <w:rPr>
          <w:rFonts w:hint="eastAsia" w:ascii="宋体" w:hAnsi="宋体" w:eastAsia="宋体" w:cs="宋体"/>
          <w:b/>
          <w:color w:val="auto"/>
          <w:highlight w:val="none"/>
        </w:rPr>
        <w:t xml:space="preserve">、双方权利和义务</w:t>
      </w:r>
      <w:r/>
    </w:p>
    <w:p>
      <w:pPr>
        <w:pStyle w:val="759"/>
        <w:ind w:firstLine="480"/>
        <w:jc w:val="both"/>
        <w:keepLines w:val="0"/>
        <w:keepNext w:val="0"/>
        <w:pageBreakBefore w:val="0"/>
        <w:spacing w:before="0" w:beforeAutospacing="0" w:after="0" w:afterAutospacing="0" w:line="500" w:lineRule="exact"/>
        <w:widowControl w:val="off"/>
        <w:rPr>
          <w:rFonts w:hint="eastAsia" w:ascii="宋体" w:hAnsi="宋体" w:eastAsia="宋体" w:cs="宋体"/>
          <w:color w:val="auto"/>
          <w:highlight w:val="none"/>
          <w:shd w:val="clear" w:color="auto" w:fill="auto"/>
          <w:lang w:val="en-US" w:eastAsia="zh-CN"/>
        </w:rPr>
      </w:pPr>
      <w:r>
        <w:rPr>
          <w:rFonts w:hint="eastAsia" w:ascii="宋体" w:hAnsi="宋体" w:eastAsia="宋体" w:cs="宋体"/>
          <w:color w:val="auto"/>
          <w:highlight w:val="none"/>
          <w:shd w:val="clear" w:color="auto" w:fill="auto"/>
          <w:lang w:val="en-US" w:eastAsia="zh-CN"/>
        </w:rPr>
        <w:t xml:space="preserve">11.1甲方的权利和义务。</w:t>
      </w:r>
      <w:r/>
    </w:p>
    <w:p>
      <w:pPr>
        <w:pStyle w:val="759"/>
        <w:ind w:firstLine="480"/>
        <w:jc w:val="both"/>
        <w:keepLines w:val="0"/>
        <w:keepNext w:val="0"/>
        <w:pageBreakBefore w:val="0"/>
        <w:spacing w:before="0" w:beforeAutospacing="0" w:after="0" w:afterAutospacing="0" w:line="500" w:lineRule="exact"/>
        <w:widowControl w:val="off"/>
        <w:rPr>
          <w:rFonts w:hint="eastAsia" w:ascii="宋体" w:hAnsi="宋体" w:eastAsia="宋体" w:cs="宋体"/>
          <w:color w:val="auto"/>
          <w:highlight w:val="none"/>
          <w:shd w:val="clear" w:color="auto" w:fill="auto"/>
          <w:lang w:val="en-US" w:eastAsia="zh-CN"/>
        </w:rPr>
      </w:pPr>
      <w:r>
        <w:rPr>
          <w:rFonts w:hint="eastAsia" w:ascii="宋体" w:hAnsi="宋体" w:eastAsia="宋体" w:cs="宋体"/>
          <w:color w:val="auto"/>
          <w:highlight w:val="none"/>
          <w:shd w:val="clear" w:color="auto" w:fill="auto"/>
          <w:lang w:val="en-US" w:eastAsia="zh-CN"/>
        </w:rPr>
        <w:t xml:space="preserve">11.1.1甲方应视具体项目情况，在约定时间内向乙方提供必要的基础资料，甲方对提供的资料的真实，准确，合法性负责。甲方未在约定的时间内向乙方提供资料及文件，乙方完成委托事项的期限相应顺延，或另行协商。</w:t>
      </w:r>
      <w:r/>
    </w:p>
    <w:p>
      <w:pPr>
        <w:pStyle w:val="759"/>
        <w:ind w:firstLine="480"/>
        <w:jc w:val="both"/>
        <w:keepLines w:val="0"/>
        <w:keepNext w:val="0"/>
        <w:pageBreakBefore w:val="0"/>
        <w:spacing w:before="0" w:beforeAutospacing="0" w:after="0" w:afterAutospacing="0" w:line="500" w:lineRule="exact"/>
        <w:widowControl w:val="off"/>
        <w:rPr>
          <w:rFonts w:hint="eastAsia" w:ascii="宋体" w:hAnsi="宋体" w:eastAsia="宋体" w:cs="宋体"/>
          <w:color w:val="auto"/>
          <w:highlight w:val="none"/>
          <w:shd w:val="clear" w:color="auto" w:fill="auto"/>
          <w:lang w:val="en-US" w:eastAsia="zh-CN"/>
        </w:rPr>
      </w:pPr>
      <w:r>
        <w:rPr>
          <w:rFonts w:hint="eastAsia" w:ascii="宋体" w:hAnsi="宋体" w:eastAsia="宋体" w:cs="宋体"/>
          <w:color w:val="auto"/>
          <w:highlight w:val="none"/>
          <w:shd w:val="clear" w:color="auto" w:fill="auto"/>
          <w:lang w:val="en-US" w:eastAsia="zh-CN"/>
        </w:rPr>
        <w:t xml:space="preserve">11.1.2甲方变更委托项目规模，条件或因提交的资料错误或所提交资料作较大修改，以致造成无法完成委托项目，双方需另行协商确定交付成果的时间及所需费用。</w:t>
      </w:r>
      <w:r/>
    </w:p>
    <w:p>
      <w:pPr>
        <w:pStyle w:val="759"/>
        <w:ind w:firstLine="480"/>
        <w:jc w:val="both"/>
        <w:keepLines w:val="0"/>
        <w:keepNext w:val="0"/>
        <w:pageBreakBefore w:val="0"/>
        <w:spacing w:before="0" w:beforeAutospacing="0" w:after="0" w:afterAutospacing="0" w:line="500" w:lineRule="exact"/>
        <w:widowControl w:val="off"/>
        <w:rPr>
          <w:rFonts w:hint="eastAsia" w:ascii="宋体" w:hAnsi="宋体" w:eastAsia="宋体" w:cs="宋体"/>
          <w:b/>
          <w:color w:val="auto"/>
          <w:highlight w:val="none"/>
          <w:shd w:val="clear" w:color="auto" w:fill="auto"/>
          <w:lang w:val="en-US" w:eastAsia="zh-CN"/>
        </w:rPr>
      </w:pPr>
      <w:r>
        <w:rPr>
          <w:rFonts w:hint="eastAsia" w:ascii="宋体" w:hAnsi="宋体" w:eastAsia="宋体" w:cs="宋体"/>
          <w:color w:val="auto"/>
          <w:highlight w:val="none"/>
          <w:shd w:val="clear" w:color="auto" w:fill="auto"/>
          <w:lang w:val="en-US" w:eastAsia="zh-CN"/>
        </w:rPr>
        <w:t xml:space="preserve">11.1.3对于乙方工作过程中所涉及的有关具体事宜，甲方应及时提供必要配合，以确保委托事项的顺利进行；对于项目办理过程中，由乙方代表方署关法律文书，证明材料，甲方应予以审查，审查无误则确认。</w:t>
      </w:r>
      <w:r/>
    </w:p>
    <w:p>
      <w:pPr>
        <w:pStyle w:val="759"/>
        <w:ind w:firstLine="482"/>
        <w:jc w:val="both"/>
        <w:keepLines w:val="0"/>
        <w:keepNext w:val="0"/>
        <w:pageBreakBefore w:val="0"/>
        <w:spacing w:before="0" w:beforeAutospacing="0" w:after="0" w:afterAutospacing="0" w:line="500" w:lineRule="exact"/>
        <w:widowControl w:val="off"/>
        <w:rPr>
          <w:rFonts w:hint="eastAsia" w:ascii="宋体" w:hAnsi="宋体" w:eastAsia="宋体" w:cs="宋体"/>
          <w:b w:val="0"/>
          <w:bCs/>
          <w:color w:val="auto"/>
          <w:highlight w:val="none"/>
          <w:shd w:val="clear" w:color="auto" w:fill="auto"/>
          <w:lang w:val="en-US" w:eastAsia="zh-CN"/>
        </w:rPr>
      </w:pPr>
      <w:r>
        <w:rPr>
          <w:rFonts w:hint="eastAsia" w:ascii="宋体" w:hAnsi="宋体" w:eastAsia="宋体" w:cs="宋体"/>
          <w:b w:val="0"/>
          <w:bCs/>
          <w:color w:val="auto"/>
          <w:highlight w:val="none"/>
          <w:shd w:val="clear" w:color="auto" w:fill="auto"/>
          <w:lang w:val="en-US" w:eastAsia="zh-CN"/>
        </w:rPr>
        <w:t xml:space="preserve">11.2乙方的权利和义务。</w:t>
      </w:r>
      <w:r/>
    </w:p>
    <w:p>
      <w:pPr>
        <w:pStyle w:val="759"/>
        <w:ind w:firstLine="482"/>
        <w:jc w:val="both"/>
        <w:keepLines w:val="0"/>
        <w:keepNext w:val="0"/>
        <w:pageBreakBefore w:val="0"/>
        <w:spacing w:before="0" w:beforeAutospacing="0" w:after="0" w:afterAutospacing="0" w:line="500" w:lineRule="exact"/>
        <w:widowControl w:val="off"/>
        <w:rPr>
          <w:rFonts w:hint="eastAsia" w:ascii="宋体" w:hAnsi="宋体" w:eastAsia="宋体" w:cs="宋体"/>
          <w:b w:val="0"/>
          <w:bCs/>
          <w:color w:val="auto"/>
          <w:highlight w:val="none"/>
          <w:shd w:val="clear" w:color="auto" w:fill="auto"/>
          <w:lang w:val="en-US" w:eastAsia="zh-CN"/>
        </w:rPr>
      </w:pPr>
      <w:r>
        <w:rPr>
          <w:rFonts w:hint="eastAsia" w:ascii="宋体" w:hAnsi="宋体" w:eastAsia="宋体" w:cs="宋体"/>
          <w:b w:val="0"/>
          <w:bCs/>
          <w:color w:val="auto"/>
          <w:highlight w:val="none"/>
          <w:shd w:val="clear" w:color="auto" w:fill="auto"/>
          <w:lang w:val="en-US" w:eastAsia="zh-CN"/>
        </w:rPr>
        <w:t xml:space="preserve">11.2.1乙方应按国家技术规范，标准，规程等管理部门相关的政策，法规文件，提供委托技术服务，及时，全面地完成协议约定的事项，并对完成事项的合法性，客观性及有效性负责。</w:t>
      </w:r>
      <w:r/>
    </w:p>
    <w:p>
      <w:pPr>
        <w:pStyle w:val="759"/>
        <w:ind w:firstLine="482"/>
        <w:jc w:val="both"/>
        <w:keepLines w:val="0"/>
        <w:keepNext w:val="0"/>
        <w:pageBreakBefore w:val="0"/>
        <w:spacing w:before="0" w:beforeAutospacing="0" w:after="0" w:afterAutospacing="0" w:line="500" w:lineRule="exact"/>
        <w:widowControl w:val="off"/>
        <w:rPr>
          <w:rFonts w:hint="eastAsia" w:ascii="宋体" w:hAnsi="宋体" w:eastAsia="宋体" w:cs="宋体"/>
          <w:b w:val="0"/>
          <w:bCs/>
          <w:color w:val="auto"/>
          <w:highlight w:val="none"/>
          <w:shd w:val="clear" w:color="auto" w:fill="auto"/>
          <w:lang w:val="en-US" w:eastAsia="zh-CN"/>
        </w:rPr>
      </w:pPr>
      <w:r>
        <w:rPr>
          <w:rFonts w:hint="eastAsia" w:ascii="宋体" w:hAnsi="宋体" w:eastAsia="宋体" w:cs="宋体"/>
          <w:b w:val="0"/>
          <w:bCs/>
          <w:color w:val="auto"/>
          <w:highlight w:val="none"/>
          <w:shd w:val="clear" w:color="auto" w:fill="auto"/>
          <w:lang w:val="en-US" w:eastAsia="zh-CN"/>
        </w:rPr>
        <w:t xml:space="preserve">11.2.2乙方应及时告知甲方各项委托事项的受托完成进度，并按协议规定的内容及进度向甲方交付成果报告及资料，并承担因成果不合格而造成的返工，修复等责任。</w:t>
      </w:r>
      <w:r/>
    </w:p>
    <w:p>
      <w:pPr>
        <w:pStyle w:val="759"/>
        <w:ind w:firstLine="482"/>
        <w:jc w:val="both"/>
        <w:keepLines w:val="0"/>
        <w:keepNext w:val="0"/>
        <w:pageBreakBefore w:val="0"/>
        <w:spacing w:before="0" w:beforeAutospacing="0" w:after="0" w:afterAutospacing="0" w:line="500" w:lineRule="exact"/>
        <w:widowControl w:val="off"/>
        <w:rPr>
          <w:rFonts w:hint="eastAsia" w:ascii="宋体" w:hAnsi="宋体" w:eastAsia="宋体" w:cs="宋体"/>
          <w:b w:val="0"/>
          <w:bCs/>
          <w:color w:val="auto"/>
          <w:highlight w:val="none"/>
          <w:shd w:val="clear" w:color="auto" w:fill="auto"/>
          <w:lang w:val="en-US" w:eastAsia="zh-CN"/>
        </w:rPr>
      </w:pPr>
      <w:r>
        <w:rPr>
          <w:rFonts w:hint="eastAsia" w:ascii="宋体" w:hAnsi="宋体" w:eastAsia="宋体" w:cs="宋体"/>
          <w:b w:val="0"/>
          <w:bCs/>
          <w:color w:val="auto"/>
          <w:highlight w:val="none"/>
          <w:shd w:val="clear" w:color="auto" w:fill="auto"/>
          <w:lang w:val="en-US" w:eastAsia="zh-CN"/>
        </w:rPr>
        <w:t xml:space="preserve">11.2.3乙方应妥善保管甲方提供的资料，不得遗失，涂改：乙方应保护甲方提供的文件，数据及背景资料的秘密性，除申报外，不得向第三方泄露，转让；如发生以上情况，甲方有权向乙方索赔。</w:t>
      </w:r>
      <w:r/>
    </w:p>
    <w:p>
      <w:pPr>
        <w:pStyle w:val="759"/>
        <w:ind w:firstLine="482"/>
        <w:jc w:val="both"/>
        <w:keepLines w:val="0"/>
        <w:keepNext w:val="0"/>
        <w:pageBreakBefore w:val="0"/>
        <w:spacing w:before="0" w:beforeAutospacing="0" w:after="0" w:afterAutospacing="0" w:line="500" w:lineRule="exact"/>
        <w:widowControl w:val="off"/>
        <w:rPr>
          <w:rFonts w:hint="eastAsia" w:ascii="宋体" w:hAnsi="宋体" w:eastAsia="宋体" w:cs="宋体"/>
          <w:b w:val="0"/>
          <w:bCs/>
          <w:color w:val="auto"/>
          <w:highlight w:val="none"/>
          <w:shd w:val="clear" w:color="auto" w:fill="auto"/>
          <w:lang w:val="en-US" w:eastAsia="zh-CN"/>
        </w:rPr>
      </w:pPr>
      <w:r>
        <w:rPr>
          <w:rFonts w:hint="eastAsia" w:ascii="宋体" w:hAnsi="宋体" w:eastAsia="宋体" w:cs="宋体"/>
          <w:b w:val="0"/>
          <w:bCs/>
          <w:color w:val="auto"/>
          <w:highlight w:val="none"/>
          <w:shd w:val="clear" w:color="auto" w:fill="auto"/>
          <w:lang w:val="en-US" w:eastAsia="zh-CN"/>
        </w:rPr>
        <w:t xml:space="preserve">11.2.4甲方委托的业务，乙方承接后应优先开展工作，甲方委托的项目重大或紧急时，乙方在人员安排，工作进度上应予以优先安排，特事特办，保质保量及时完成。</w:t>
      </w:r>
      <w:r/>
    </w:p>
    <w:p>
      <w:pPr>
        <w:pStyle w:val="759"/>
        <w:ind w:firstLine="482"/>
        <w:jc w:val="both"/>
        <w:keepLines w:val="0"/>
        <w:keepNext w:val="0"/>
        <w:pageBreakBefore w:val="0"/>
        <w:spacing w:before="0" w:beforeAutospacing="0" w:after="0" w:afterAutospacing="0" w:line="500" w:lineRule="exact"/>
        <w:widowControl w:val="off"/>
        <w:rPr>
          <w:rFonts w:hint="eastAsia" w:ascii="宋体" w:hAnsi="宋体" w:eastAsia="宋体" w:cs="宋体"/>
          <w:color w:val="auto"/>
          <w:highlight w:val="none"/>
          <w:shd w:val="clear" w:color="auto" w:fill="auto"/>
        </w:rPr>
      </w:pPr>
      <w:r>
        <w:rPr>
          <w:rFonts w:hint="eastAsia" w:ascii="宋体" w:hAnsi="宋体" w:eastAsia="宋体" w:cs="宋体"/>
          <w:b/>
          <w:color w:val="auto"/>
          <w:highlight w:val="none"/>
          <w:shd w:val="clear" w:color="auto" w:fill="auto"/>
        </w:rPr>
        <w:t xml:space="preserve">十</w:t>
      </w:r>
      <w:r>
        <w:rPr>
          <w:rFonts w:hint="eastAsia" w:ascii="宋体" w:hAnsi="宋体" w:eastAsia="宋体" w:cs="宋体"/>
          <w:b/>
          <w:color w:val="auto"/>
          <w:highlight w:val="none"/>
          <w:shd w:val="clear" w:color="auto" w:fill="auto"/>
          <w:lang w:val="en-US" w:eastAsia="zh-CN"/>
        </w:rPr>
        <w:t xml:space="preserve">二</w:t>
      </w:r>
      <w:r>
        <w:rPr>
          <w:rFonts w:hint="eastAsia" w:ascii="宋体" w:hAnsi="宋体" w:eastAsia="宋体" w:cs="宋体"/>
          <w:b/>
          <w:color w:val="auto"/>
          <w:highlight w:val="none"/>
          <w:shd w:val="clear" w:color="auto" w:fill="auto"/>
        </w:rPr>
        <w:t xml:space="preserve">、违约责任</w:t>
      </w:r>
      <w:r/>
    </w:p>
    <w:p>
      <w:pPr>
        <w:pStyle w:val="759"/>
        <w:ind w:firstLine="480"/>
        <w:jc w:val="both"/>
        <w:keepLines w:val="0"/>
        <w:keepNext w:val="0"/>
        <w:pageBreakBefore w:val="0"/>
        <w:spacing w:before="0" w:beforeAutospacing="0" w:after="0" w:afterAutospacing="0" w:line="500" w:lineRule="exact"/>
        <w:widowControl w:val="off"/>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1</w:t>
      </w:r>
      <w:r>
        <w:rPr>
          <w:rFonts w:hint="eastAsia" w:ascii="宋体" w:hAnsi="宋体" w:eastAsia="宋体" w:cs="宋体"/>
          <w:color w:val="auto"/>
          <w:highlight w:val="none"/>
          <w:shd w:val="clear" w:color="auto" w:fill="auto"/>
          <w:lang w:val="en-US" w:eastAsia="zh-CN"/>
        </w:rPr>
        <w:t xml:space="preserve">2</w:t>
      </w:r>
      <w:r>
        <w:rPr>
          <w:rFonts w:hint="eastAsia" w:ascii="宋体" w:hAnsi="宋体" w:eastAsia="宋体" w:cs="宋体"/>
          <w:color w:val="auto"/>
          <w:highlight w:val="none"/>
          <w:shd w:val="clear" w:color="auto" w:fill="auto"/>
        </w:rPr>
        <w:t xml:space="preserve">.1甲方无正当理由拒绝接受乙方提供的合同标的的，甲方向乙方偿付拒绝接受合同价款总值</w:t>
      </w:r>
      <w:r>
        <w:rPr>
          <w:rFonts w:hint="eastAsia" w:ascii="宋体" w:hAnsi="宋体" w:eastAsia="宋体" w:cs="宋体"/>
          <w:color w:val="auto"/>
          <w:highlight w:val="none"/>
          <w:u w:val="single"/>
          <w:shd w:val="clear" w:color="auto" w:fill="auto"/>
          <w:lang w:val="en-US" w:eastAsia="zh-CN"/>
        </w:rPr>
        <w:t xml:space="preserve">5%</w:t>
      </w:r>
      <w:r>
        <w:rPr>
          <w:rFonts w:hint="eastAsia" w:ascii="宋体" w:hAnsi="宋体" w:eastAsia="宋体" w:cs="宋体"/>
          <w:color w:val="auto"/>
          <w:highlight w:val="none"/>
          <w:u w:val="single"/>
          <w:shd w:val="clear" w:color="auto" w:fill="auto"/>
        </w:rPr>
        <w:t xml:space="preserve"> </w:t>
      </w:r>
      <w:r>
        <w:rPr>
          <w:rFonts w:hint="eastAsia" w:ascii="宋体" w:hAnsi="宋体" w:eastAsia="宋体" w:cs="宋体"/>
          <w:color w:val="auto"/>
          <w:highlight w:val="none"/>
          <w:shd w:val="clear" w:color="auto" w:fill="auto"/>
        </w:rPr>
        <w:t xml:space="preserve">的违约金。</w:t>
      </w:r>
      <w:r/>
    </w:p>
    <w:p>
      <w:pPr>
        <w:pStyle w:val="759"/>
        <w:ind w:firstLine="480"/>
        <w:jc w:val="both"/>
        <w:keepLines w:val="0"/>
        <w:keepNext w:val="0"/>
        <w:pageBreakBefore w:val="0"/>
        <w:spacing w:before="0" w:beforeAutospacing="0" w:after="0" w:afterAutospacing="0" w:line="500" w:lineRule="exact"/>
        <w:widowControl w:val="off"/>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1</w:t>
      </w:r>
      <w:r>
        <w:rPr>
          <w:rFonts w:hint="eastAsia" w:ascii="宋体" w:hAnsi="宋体" w:eastAsia="宋体" w:cs="宋体"/>
          <w:color w:val="auto"/>
          <w:highlight w:val="none"/>
          <w:shd w:val="clear" w:color="auto" w:fill="auto"/>
          <w:lang w:val="en-US" w:eastAsia="zh-CN"/>
        </w:rPr>
        <w:t xml:space="preserve">2</w:t>
      </w:r>
      <w:r>
        <w:rPr>
          <w:rFonts w:hint="eastAsia" w:ascii="宋体" w:hAnsi="宋体" w:eastAsia="宋体" w:cs="宋体"/>
          <w:color w:val="auto"/>
          <w:highlight w:val="none"/>
          <w:shd w:val="clear" w:color="auto" w:fill="auto"/>
        </w:rPr>
        <w:t xml:space="preserve">.2 甲方无故逾期验收和办理合同款项支付手续的,甲方应按逾期付款总额</w:t>
      </w:r>
      <w:r>
        <w:rPr>
          <w:rFonts w:hint="eastAsia" w:ascii="宋体" w:hAnsi="宋体" w:eastAsia="宋体" w:cs="宋体"/>
          <w:color w:val="auto"/>
          <w:highlight w:val="none"/>
          <w:u w:val="single"/>
          <w:shd w:val="clear" w:color="auto" w:fill="auto"/>
        </w:rPr>
        <w:t xml:space="preserve">万分之五</w:t>
      </w:r>
      <w:r>
        <w:rPr>
          <w:rFonts w:hint="eastAsia" w:ascii="宋体" w:hAnsi="宋体" w:eastAsia="宋体" w:cs="宋体"/>
          <w:color w:val="auto"/>
          <w:highlight w:val="none"/>
          <w:shd w:val="clear" w:color="auto" w:fill="auto"/>
        </w:rPr>
        <w:t xml:space="preserve">每日向乙方支付违约金。</w:t>
      </w:r>
      <w:r/>
    </w:p>
    <w:p>
      <w:pPr>
        <w:pStyle w:val="759"/>
        <w:ind w:firstLine="480"/>
        <w:jc w:val="both"/>
        <w:keepLines w:val="0"/>
        <w:keepNext w:val="0"/>
        <w:pageBreakBefore w:val="0"/>
        <w:spacing w:before="0" w:beforeAutospacing="0" w:after="0" w:afterAutospacing="0" w:line="500" w:lineRule="exact"/>
        <w:widowControl w:val="off"/>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1</w:t>
      </w:r>
      <w:r>
        <w:rPr>
          <w:rFonts w:hint="eastAsia" w:ascii="宋体" w:hAnsi="宋体" w:eastAsia="宋体" w:cs="宋体"/>
          <w:color w:val="auto"/>
          <w:highlight w:val="none"/>
          <w:shd w:val="clear" w:color="auto" w:fill="auto"/>
          <w:lang w:val="en-US" w:eastAsia="zh-CN"/>
        </w:rPr>
        <w:t xml:space="preserve">2</w:t>
      </w:r>
      <w:r>
        <w:rPr>
          <w:rFonts w:hint="eastAsia" w:ascii="宋体" w:hAnsi="宋体" w:eastAsia="宋体" w:cs="宋体"/>
          <w:color w:val="auto"/>
          <w:highlight w:val="none"/>
          <w:shd w:val="clear" w:color="auto" w:fill="auto"/>
        </w:rPr>
        <w:t xml:space="preserve">.3 乙方逾期交付合同标的的，乙方应按逾期交付合同总额每日千分之六向甲方支付违约金，由甲方从待付合同款项中扣除。逾期超过约定日期10个工作日不能交付合同标的的，甲方可解除本合同。乙方因逾期交付合同标的或因其他违约行为导致甲方解除合同的，乙方应向甲方支付合同价款总额</w:t>
      </w:r>
      <w:r>
        <w:rPr>
          <w:rFonts w:hint="eastAsia" w:ascii="宋体" w:hAnsi="宋体" w:eastAsia="宋体" w:cs="宋体"/>
          <w:color w:val="auto"/>
          <w:highlight w:val="none"/>
          <w:u w:val="single"/>
          <w:shd w:val="clear" w:color="auto" w:fill="auto"/>
          <w:lang w:val="en-US" w:eastAsia="zh-CN"/>
        </w:rPr>
        <w:t xml:space="preserve">5%</w:t>
      </w:r>
      <w:r>
        <w:rPr>
          <w:rFonts w:hint="eastAsia" w:ascii="宋体" w:hAnsi="宋体" w:eastAsia="宋体" w:cs="宋体"/>
          <w:color w:val="auto"/>
          <w:highlight w:val="none"/>
          <w:shd w:val="clear" w:color="auto" w:fill="auto"/>
        </w:rPr>
        <w:t xml:space="preserve">的违约金，如造成甲方损失超过违约金的，超出部分由乙方继续承担赔偿责任。 </w:t>
      </w:r>
      <w:r/>
    </w:p>
    <w:p>
      <w:pPr>
        <w:pStyle w:val="759"/>
        <w:ind w:firstLine="480"/>
        <w:jc w:val="both"/>
        <w:keepLines w:val="0"/>
        <w:keepNext w:val="0"/>
        <w:pageBreakBefore w:val="0"/>
        <w:spacing w:before="0" w:beforeAutospacing="0" w:after="0" w:afterAutospacing="0" w:line="500" w:lineRule="exact"/>
        <w:widowControl w:val="off"/>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1</w:t>
      </w:r>
      <w:r>
        <w:rPr>
          <w:rFonts w:hint="eastAsia" w:ascii="宋体" w:hAnsi="宋体" w:eastAsia="宋体" w:cs="宋体"/>
          <w:color w:val="auto"/>
          <w:highlight w:val="none"/>
          <w:shd w:val="clear" w:color="auto" w:fill="auto"/>
          <w:lang w:val="en-US" w:eastAsia="zh-CN"/>
        </w:rPr>
        <w:t xml:space="preserve">2</w:t>
      </w:r>
      <w:r>
        <w:rPr>
          <w:rFonts w:hint="eastAsia" w:ascii="宋体" w:hAnsi="宋体" w:eastAsia="宋体" w:cs="宋体"/>
          <w:color w:val="auto"/>
          <w:highlight w:val="none"/>
          <w:shd w:val="clear" w:color="auto" w:fill="auto"/>
        </w:rPr>
        <w:t xml:space="preserve">.4 乙方交付合同标的的标准不符合合同规定及磋商文件规定标准的，甲方有权拒绝接受合同标的，并可单方面解除合同。</w:t>
      </w:r>
      <w:r/>
    </w:p>
    <w:p>
      <w:pPr>
        <w:pStyle w:val="759"/>
        <w:ind w:firstLine="482"/>
        <w:jc w:val="both"/>
        <w:keepLines w:val="0"/>
        <w:keepNext w:val="0"/>
        <w:pageBreakBefore w:val="0"/>
        <w:spacing w:before="0" w:beforeAutospacing="0" w:after="0" w:afterAutospacing="0" w:line="500" w:lineRule="exact"/>
        <w:widowControl w:val="off"/>
        <w:rPr>
          <w:rFonts w:hint="eastAsia" w:ascii="宋体" w:hAnsi="宋体" w:eastAsia="宋体" w:cs="宋体"/>
          <w:color w:val="auto"/>
          <w:highlight w:val="none"/>
          <w:shd w:val="clear" w:color="auto" w:fill="auto"/>
        </w:rPr>
      </w:pPr>
      <w:r>
        <w:rPr>
          <w:rFonts w:hint="eastAsia" w:ascii="宋体" w:hAnsi="宋体" w:eastAsia="宋体" w:cs="宋体"/>
          <w:b/>
          <w:color w:val="auto"/>
          <w:highlight w:val="none"/>
          <w:shd w:val="clear" w:color="auto" w:fill="auto"/>
        </w:rPr>
        <w:t xml:space="preserve">十</w:t>
      </w:r>
      <w:r>
        <w:rPr>
          <w:rFonts w:hint="eastAsia" w:ascii="宋体" w:hAnsi="宋体" w:eastAsia="宋体" w:cs="宋体"/>
          <w:b/>
          <w:color w:val="auto"/>
          <w:highlight w:val="none"/>
          <w:shd w:val="clear" w:color="auto" w:fill="auto"/>
          <w:lang w:val="en-US" w:eastAsia="zh-CN"/>
        </w:rPr>
        <w:t xml:space="preserve">三</w:t>
      </w:r>
      <w:r>
        <w:rPr>
          <w:rFonts w:hint="eastAsia" w:ascii="宋体" w:hAnsi="宋体" w:eastAsia="宋体" w:cs="宋体"/>
          <w:b/>
          <w:color w:val="auto"/>
          <w:highlight w:val="none"/>
          <w:shd w:val="clear" w:color="auto" w:fill="auto"/>
        </w:rPr>
        <w:t xml:space="preserve">、不可抗力事件处理</w:t>
      </w:r>
      <w:r/>
    </w:p>
    <w:p>
      <w:pPr>
        <w:pStyle w:val="759"/>
        <w:ind w:firstLine="480"/>
        <w:jc w:val="both"/>
        <w:keepLines w:val="0"/>
        <w:keepNext w:val="0"/>
        <w:pageBreakBefore w:val="0"/>
        <w:spacing w:before="0" w:beforeAutospacing="0" w:after="0" w:afterAutospacing="0" w:line="500" w:lineRule="exact"/>
        <w:widowControl w:val="off"/>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1</w:t>
      </w:r>
      <w:r>
        <w:rPr>
          <w:rFonts w:hint="eastAsia" w:ascii="宋体" w:hAnsi="宋体" w:eastAsia="宋体" w:cs="宋体"/>
          <w:color w:val="auto"/>
          <w:highlight w:val="none"/>
          <w:shd w:val="clear" w:color="auto" w:fill="auto"/>
          <w:lang w:val="en-US" w:eastAsia="zh-CN"/>
        </w:rPr>
        <w:t xml:space="preserve">3</w:t>
      </w:r>
      <w:r>
        <w:rPr>
          <w:rFonts w:hint="eastAsia" w:ascii="宋体" w:hAnsi="宋体" w:eastAsia="宋体" w:cs="宋体"/>
          <w:color w:val="auto"/>
          <w:highlight w:val="none"/>
          <w:shd w:val="clear" w:color="auto" w:fill="auto"/>
        </w:rPr>
        <w:t xml:space="preserve">.1 在合同有效期内，任何一方因不可抗力事件导致不能履行合同，则合同履行期可延长，其延长期与不可抗力影响期相同。</w:t>
      </w:r>
      <w:r/>
    </w:p>
    <w:p>
      <w:pPr>
        <w:pStyle w:val="759"/>
        <w:ind w:firstLine="480"/>
        <w:jc w:val="both"/>
        <w:keepLines w:val="0"/>
        <w:keepNext w:val="0"/>
        <w:pageBreakBefore w:val="0"/>
        <w:spacing w:before="0" w:beforeAutospacing="0" w:after="0" w:afterAutospacing="0" w:line="500" w:lineRule="exact"/>
        <w:widowControl w:val="off"/>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1</w:t>
      </w:r>
      <w:r>
        <w:rPr>
          <w:rFonts w:hint="eastAsia" w:ascii="宋体" w:hAnsi="宋体" w:eastAsia="宋体" w:cs="宋体"/>
          <w:color w:val="auto"/>
          <w:highlight w:val="none"/>
          <w:shd w:val="clear" w:color="auto" w:fill="auto"/>
          <w:lang w:val="en-US" w:eastAsia="zh-CN"/>
        </w:rPr>
        <w:t xml:space="preserve">3</w:t>
      </w:r>
      <w:r>
        <w:rPr>
          <w:rFonts w:hint="eastAsia" w:ascii="宋体" w:hAnsi="宋体" w:eastAsia="宋体" w:cs="宋体"/>
          <w:color w:val="auto"/>
          <w:highlight w:val="none"/>
          <w:shd w:val="clear" w:color="auto" w:fill="auto"/>
        </w:rPr>
        <w:t xml:space="preserve">.2 不可抗力事件发生后，应立即通知对方，并寄送有关权威机构出具的证明。</w:t>
      </w:r>
      <w:r/>
    </w:p>
    <w:p>
      <w:pPr>
        <w:pStyle w:val="759"/>
        <w:ind w:firstLine="480"/>
        <w:jc w:val="both"/>
        <w:keepLines w:val="0"/>
        <w:keepNext w:val="0"/>
        <w:pageBreakBefore w:val="0"/>
        <w:spacing w:before="0" w:beforeAutospacing="0" w:after="0" w:afterAutospacing="0" w:line="500" w:lineRule="exact"/>
        <w:widowControl w:val="off"/>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1</w:t>
      </w:r>
      <w:r>
        <w:rPr>
          <w:rFonts w:hint="eastAsia" w:ascii="宋体" w:hAnsi="宋体" w:eastAsia="宋体" w:cs="宋体"/>
          <w:color w:val="auto"/>
          <w:highlight w:val="none"/>
          <w:shd w:val="clear" w:color="auto" w:fill="auto"/>
          <w:lang w:val="en-US" w:eastAsia="zh-CN"/>
        </w:rPr>
        <w:t xml:space="preserve">3</w:t>
      </w:r>
      <w:r>
        <w:rPr>
          <w:rFonts w:hint="eastAsia" w:ascii="宋体" w:hAnsi="宋体" w:eastAsia="宋体" w:cs="宋体"/>
          <w:color w:val="auto"/>
          <w:highlight w:val="none"/>
          <w:shd w:val="clear" w:color="auto" w:fill="auto"/>
        </w:rPr>
        <w:t xml:space="preserve">.3 不可抗力事件延续120天以上，双方应通过友好协商，确定是否继续履行合同。</w:t>
      </w:r>
      <w:r/>
    </w:p>
    <w:p>
      <w:pPr>
        <w:pStyle w:val="759"/>
        <w:ind w:firstLine="482"/>
        <w:jc w:val="both"/>
        <w:keepLines w:val="0"/>
        <w:keepNext w:val="0"/>
        <w:pageBreakBefore w:val="0"/>
        <w:spacing w:before="0" w:beforeAutospacing="0" w:after="0" w:afterAutospacing="0" w:line="500" w:lineRule="exact"/>
        <w:widowControl w:val="off"/>
        <w:rPr>
          <w:rFonts w:hint="eastAsia" w:ascii="宋体" w:hAnsi="宋体" w:eastAsia="宋体" w:cs="宋体"/>
          <w:color w:val="auto"/>
          <w:highlight w:val="none"/>
          <w:shd w:val="clear" w:color="auto" w:fill="auto"/>
        </w:rPr>
      </w:pPr>
      <w:r>
        <w:rPr>
          <w:rFonts w:hint="eastAsia" w:ascii="宋体" w:hAnsi="宋体" w:eastAsia="宋体" w:cs="宋体"/>
          <w:b/>
          <w:color w:val="auto"/>
          <w:highlight w:val="none"/>
          <w:shd w:val="clear" w:color="auto" w:fill="auto"/>
        </w:rPr>
        <w:t xml:space="preserve">十</w:t>
      </w:r>
      <w:r>
        <w:rPr>
          <w:rFonts w:hint="eastAsia" w:ascii="宋体" w:hAnsi="宋体" w:eastAsia="宋体" w:cs="宋体"/>
          <w:b/>
          <w:color w:val="auto"/>
          <w:highlight w:val="none"/>
          <w:shd w:val="clear" w:color="auto" w:fill="auto"/>
          <w:lang w:val="en-US" w:eastAsia="zh-CN"/>
        </w:rPr>
        <w:t xml:space="preserve">四</w:t>
      </w:r>
      <w:r>
        <w:rPr>
          <w:rFonts w:hint="eastAsia" w:ascii="宋体" w:hAnsi="宋体" w:eastAsia="宋体" w:cs="宋体"/>
          <w:b/>
          <w:color w:val="auto"/>
          <w:highlight w:val="none"/>
          <w:shd w:val="clear" w:color="auto" w:fill="auto"/>
        </w:rPr>
        <w:t xml:space="preserve">、解决争议的方法</w:t>
      </w:r>
      <w:r/>
    </w:p>
    <w:p>
      <w:pPr>
        <w:pStyle w:val="759"/>
        <w:ind w:firstLine="480"/>
        <w:jc w:val="both"/>
        <w:keepLines w:val="0"/>
        <w:keepNext w:val="0"/>
        <w:pageBreakBefore w:val="0"/>
        <w:spacing w:before="0" w:beforeAutospacing="0" w:after="0" w:afterAutospacing="0" w:line="500" w:lineRule="exact"/>
        <w:widowControl w:val="off"/>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1</w:t>
      </w:r>
      <w:r>
        <w:rPr>
          <w:rFonts w:hint="eastAsia" w:ascii="宋体" w:hAnsi="宋体" w:eastAsia="宋体" w:cs="宋体"/>
          <w:color w:val="auto"/>
          <w:highlight w:val="none"/>
          <w:shd w:val="clear" w:color="auto" w:fill="auto"/>
          <w:lang w:val="en-US" w:eastAsia="zh-CN"/>
        </w:rPr>
        <w:t xml:space="preserve">4</w:t>
      </w:r>
      <w:r>
        <w:rPr>
          <w:rFonts w:hint="eastAsia" w:ascii="宋体" w:hAnsi="宋体" w:eastAsia="宋体" w:cs="宋体"/>
          <w:color w:val="auto"/>
          <w:highlight w:val="none"/>
          <w:shd w:val="clear" w:color="auto" w:fill="auto"/>
        </w:rPr>
        <w:t xml:space="preserve">.1双方在签订、履行合同中所发生的一切争议，应通过友好协商解决。如协商不成，由甲方住所地人民法院管辖。</w:t>
      </w:r>
      <w:r/>
    </w:p>
    <w:p>
      <w:pPr>
        <w:pStyle w:val="759"/>
        <w:ind w:firstLine="482"/>
        <w:jc w:val="both"/>
        <w:keepLines w:val="0"/>
        <w:keepNext w:val="0"/>
        <w:pageBreakBefore w:val="0"/>
        <w:spacing w:before="0" w:beforeAutospacing="0" w:after="0" w:afterAutospacing="0" w:line="500" w:lineRule="exact"/>
        <w:widowControl w:val="off"/>
        <w:rPr>
          <w:rFonts w:hint="eastAsia" w:ascii="宋体" w:hAnsi="宋体" w:eastAsia="宋体" w:cs="宋体"/>
          <w:color w:val="auto"/>
          <w:highlight w:val="none"/>
          <w:shd w:val="clear" w:color="auto" w:fill="auto"/>
        </w:rPr>
      </w:pPr>
      <w:r>
        <w:rPr>
          <w:rFonts w:hint="eastAsia" w:ascii="宋体" w:hAnsi="宋体" w:eastAsia="宋体" w:cs="宋体"/>
          <w:b/>
          <w:color w:val="auto"/>
          <w:highlight w:val="none"/>
          <w:shd w:val="clear" w:color="auto" w:fill="auto"/>
        </w:rPr>
        <w:t xml:space="preserve">十</w:t>
      </w:r>
      <w:r>
        <w:rPr>
          <w:rFonts w:hint="eastAsia" w:ascii="宋体" w:hAnsi="宋体" w:eastAsia="宋体" w:cs="宋体"/>
          <w:b/>
          <w:color w:val="auto"/>
          <w:highlight w:val="none"/>
          <w:shd w:val="clear" w:color="auto" w:fill="auto"/>
          <w:lang w:val="en-US" w:eastAsia="zh-CN"/>
        </w:rPr>
        <w:t xml:space="preserve">五</w:t>
      </w:r>
      <w:r>
        <w:rPr>
          <w:rFonts w:hint="eastAsia" w:ascii="宋体" w:hAnsi="宋体" w:eastAsia="宋体" w:cs="宋体"/>
          <w:b/>
          <w:color w:val="auto"/>
          <w:highlight w:val="none"/>
          <w:shd w:val="clear" w:color="auto" w:fill="auto"/>
        </w:rPr>
        <w:t xml:space="preserve">、合同生效及其它</w:t>
      </w:r>
      <w:r/>
    </w:p>
    <w:p>
      <w:pPr>
        <w:pStyle w:val="759"/>
        <w:ind w:firstLine="480"/>
        <w:jc w:val="both"/>
        <w:keepLines w:val="0"/>
        <w:keepNext w:val="0"/>
        <w:pageBreakBefore w:val="0"/>
        <w:spacing w:before="0" w:beforeAutospacing="0" w:after="0" w:afterAutospacing="0" w:line="500" w:lineRule="exact"/>
        <w:widowControl w:val="off"/>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1</w:t>
      </w:r>
      <w:r>
        <w:rPr>
          <w:rFonts w:hint="eastAsia" w:ascii="宋体" w:hAnsi="宋体" w:eastAsia="宋体" w:cs="宋体"/>
          <w:color w:val="auto"/>
          <w:highlight w:val="none"/>
          <w:shd w:val="clear" w:color="auto" w:fill="auto"/>
          <w:lang w:val="en-US" w:eastAsia="zh-CN"/>
        </w:rPr>
        <w:t xml:space="preserve">5</w:t>
      </w:r>
      <w:r>
        <w:rPr>
          <w:rFonts w:hint="eastAsia" w:ascii="宋体" w:hAnsi="宋体" w:eastAsia="宋体" w:cs="宋体"/>
          <w:color w:val="auto"/>
          <w:highlight w:val="none"/>
          <w:shd w:val="clear" w:color="auto" w:fill="auto"/>
        </w:rPr>
        <w:t xml:space="preserve">.1 合同经双方法定代表人或授权委托代表人签字并加盖单位公章后生效。</w:t>
      </w:r>
      <w:r/>
    </w:p>
    <w:p>
      <w:pPr>
        <w:pStyle w:val="759"/>
        <w:ind w:firstLine="480"/>
        <w:jc w:val="both"/>
        <w:keepLines w:val="0"/>
        <w:keepNext w:val="0"/>
        <w:pageBreakBefore w:val="0"/>
        <w:spacing w:before="0" w:beforeAutospacing="0" w:after="0" w:afterAutospacing="0" w:line="500" w:lineRule="exact"/>
        <w:widowControl w:val="off"/>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1</w:t>
      </w:r>
      <w:r>
        <w:rPr>
          <w:rFonts w:hint="eastAsia" w:ascii="宋体" w:hAnsi="宋体" w:eastAsia="宋体" w:cs="宋体"/>
          <w:color w:val="auto"/>
          <w:highlight w:val="none"/>
          <w:shd w:val="clear" w:color="auto" w:fill="auto"/>
          <w:lang w:val="en-US" w:eastAsia="zh-CN"/>
        </w:rPr>
        <w:t xml:space="preserve">5</w:t>
      </w:r>
      <w:r>
        <w:rPr>
          <w:rFonts w:hint="eastAsia" w:ascii="宋体" w:hAnsi="宋体" w:eastAsia="宋体" w:cs="宋体"/>
          <w:color w:val="auto"/>
          <w:highlight w:val="none"/>
          <w:shd w:val="clear" w:color="auto" w:fill="auto"/>
        </w:rPr>
        <w:t xml:space="preserve">.2本合同未尽事宜，遵照《民法典》、《政府采购法》有关条文执行。</w:t>
      </w:r>
      <w:r/>
    </w:p>
    <w:p>
      <w:pPr>
        <w:pStyle w:val="759"/>
        <w:ind w:firstLine="480"/>
        <w:jc w:val="both"/>
        <w:keepLines w:val="0"/>
        <w:keepNext w:val="0"/>
        <w:pageBreakBefore w:val="0"/>
        <w:spacing w:before="0" w:beforeAutospacing="0" w:after="0" w:afterAutospacing="0" w:line="500" w:lineRule="exact"/>
        <w:widowControl w:val="off"/>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1</w:t>
      </w:r>
      <w:r>
        <w:rPr>
          <w:rFonts w:hint="eastAsia" w:ascii="宋体" w:hAnsi="宋体" w:eastAsia="宋体" w:cs="宋体"/>
          <w:color w:val="auto"/>
          <w:highlight w:val="none"/>
          <w:shd w:val="clear" w:color="auto" w:fill="auto"/>
          <w:lang w:val="en-US" w:eastAsia="zh-CN"/>
        </w:rPr>
        <w:t xml:space="preserve">5</w:t>
      </w:r>
      <w:r>
        <w:rPr>
          <w:rFonts w:hint="eastAsia" w:ascii="宋体" w:hAnsi="宋体" w:eastAsia="宋体" w:cs="宋体"/>
          <w:color w:val="auto"/>
          <w:highlight w:val="none"/>
          <w:shd w:val="clear" w:color="auto" w:fill="auto"/>
        </w:rPr>
        <w:t xml:space="preserve">.3 本合同正本一式</w:t>
      </w:r>
      <w:r>
        <w:rPr>
          <w:rFonts w:hint="eastAsia" w:ascii="宋体" w:hAnsi="宋体" w:eastAsia="宋体" w:cs="宋体"/>
          <w:color w:val="auto"/>
          <w:highlight w:val="none"/>
          <w:shd w:val="clear" w:color="auto" w:fill="auto"/>
          <w:lang w:eastAsia="zh-CN"/>
        </w:rPr>
        <w:t xml:space="preserve">陆</w:t>
      </w:r>
      <w:r>
        <w:rPr>
          <w:rFonts w:hint="eastAsia" w:ascii="宋体" w:hAnsi="宋体" w:eastAsia="宋体" w:cs="宋体"/>
          <w:color w:val="auto"/>
          <w:highlight w:val="none"/>
          <w:shd w:val="clear" w:color="auto" w:fill="auto"/>
        </w:rPr>
        <w:t xml:space="preserve">份，具有同等法律效力，甲方、乙方各执</w:t>
      </w:r>
      <w:r>
        <w:rPr>
          <w:rFonts w:hint="eastAsia" w:ascii="宋体" w:hAnsi="宋体" w:eastAsia="宋体" w:cs="宋体"/>
          <w:color w:val="auto"/>
          <w:highlight w:val="none"/>
          <w:shd w:val="clear" w:color="auto" w:fill="auto"/>
          <w:lang w:eastAsia="zh-CN"/>
        </w:rPr>
        <w:t xml:space="preserve">叁</w:t>
      </w:r>
      <w:r>
        <w:rPr>
          <w:rFonts w:hint="eastAsia" w:ascii="宋体" w:hAnsi="宋体" w:eastAsia="宋体" w:cs="宋体"/>
          <w:color w:val="auto"/>
          <w:highlight w:val="none"/>
          <w:shd w:val="clear" w:color="auto" w:fill="auto"/>
        </w:rPr>
        <w:t xml:space="preserve">份。</w:t>
      </w:r>
      <w:r/>
    </w:p>
    <w:p>
      <w:pPr>
        <w:pStyle w:val="759"/>
        <w:ind w:firstLine="480"/>
        <w:jc w:val="both"/>
        <w:keepLines w:val="0"/>
        <w:keepNext w:val="0"/>
        <w:pageBreakBefore w:val="0"/>
        <w:spacing w:before="120" w:beforeAutospacing="0" w:after="120" w:afterAutospacing="0" w:line="240" w:lineRule="auto"/>
        <w:widowControl w:val="off"/>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r>
      <w:r/>
    </w:p>
    <w:p>
      <w:pPr>
        <w:pStyle w:val="759"/>
        <w:ind w:firstLine="480"/>
        <w:jc w:val="both"/>
        <w:keepLines w:val="0"/>
        <w:keepNext w:val="0"/>
        <w:pageBreakBefore w:val="0"/>
        <w:spacing w:before="120" w:beforeAutospacing="0" w:after="120" w:afterAutospacing="0" w:line="240" w:lineRule="auto"/>
        <w:widowControl w:val="off"/>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甲方：               乙方： </w:t>
      </w:r>
      <w:r/>
    </w:p>
    <w:p>
      <w:pPr>
        <w:pStyle w:val="759"/>
        <w:ind w:firstLine="480"/>
        <w:jc w:val="both"/>
        <w:keepLines w:val="0"/>
        <w:keepNext w:val="0"/>
        <w:pageBreakBefore w:val="0"/>
        <w:spacing w:before="120" w:beforeAutospacing="0" w:after="120" w:afterAutospacing="0" w:line="240" w:lineRule="auto"/>
        <w:widowControl w:val="off"/>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地址：               地址： </w:t>
      </w:r>
      <w:r/>
    </w:p>
    <w:p>
      <w:pPr>
        <w:pStyle w:val="759"/>
        <w:ind w:firstLine="480"/>
        <w:jc w:val="both"/>
        <w:keepLines w:val="0"/>
        <w:keepNext w:val="0"/>
        <w:pageBreakBefore w:val="0"/>
        <w:spacing w:before="120" w:beforeAutospacing="0" w:after="120" w:afterAutospacing="0" w:line="240" w:lineRule="auto"/>
        <w:widowControl w:val="off"/>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法定代表人或授权代表：       法定代表人或授权代表：</w:t>
      </w:r>
      <w:r/>
    </w:p>
    <w:p>
      <w:pPr>
        <w:pStyle w:val="759"/>
        <w:ind w:firstLine="480"/>
        <w:jc w:val="both"/>
        <w:keepLines w:val="0"/>
        <w:keepNext w:val="0"/>
        <w:pageBreakBefore w:val="0"/>
        <w:spacing w:before="120" w:beforeAutospacing="0" w:after="120" w:afterAutospacing="0" w:line="240" w:lineRule="auto"/>
        <w:widowControl w:val="off"/>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联系电话：             联系电话：        </w:t>
      </w:r>
      <w:r/>
    </w:p>
    <w:p>
      <w:pPr>
        <w:pStyle w:val="759"/>
        <w:ind w:firstLine="480"/>
        <w:jc w:val="both"/>
        <w:keepLines w:val="0"/>
        <w:keepNext w:val="0"/>
        <w:pageBreakBefore w:val="0"/>
        <w:spacing w:before="120" w:beforeAutospacing="0" w:after="120" w:afterAutospacing="0" w:line="240" w:lineRule="auto"/>
        <w:widowControl w:val="off"/>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签订日期：      年    月   日</w:t>
      </w:r>
      <w:r/>
    </w:p>
    <w:p>
      <w:pPr>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br w:type="page" w:clear="all"/>
      </w:r>
      <w:r/>
    </w:p>
    <w:p>
      <w:pPr>
        <w:jc w:val="center"/>
        <w:spacing w:before="120" w:after="120" w:line="0" w:lineRule="atLeast"/>
        <w:rPr>
          <w:rFonts w:hint="eastAsia" w:ascii="宋体" w:hAnsi="宋体" w:eastAsia="宋体" w:cs="宋体"/>
          <w:bCs/>
          <w:color w:val="auto"/>
          <w:sz w:val="44"/>
          <w:szCs w:val="21"/>
          <w:highlight w:val="none"/>
        </w:rPr>
        <w:outlineLvl w:val="0"/>
      </w:pPr>
      <w:r/>
      <w:bookmarkStart w:id="204" w:name="_Toc1505"/>
      <w:r>
        <w:rPr>
          <w:rFonts w:hint="eastAsia" w:ascii="宋体" w:hAnsi="宋体" w:eastAsia="宋体" w:cs="宋体"/>
          <w:b/>
          <w:bCs/>
          <w:color w:val="auto"/>
          <w:sz w:val="44"/>
          <w:szCs w:val="44"/>
          <w:highlight w:val="none"/>
        </w:rPr>
        <w:t xml:space="preserve">第</w:t>
      </w:r>
      <w:bookmarkEnd w:id="198"/>
      <w:r>
        <w:rPr>
          <w:rFonts w:hint="eastAsia" w:ascii="宋体" w:hAnsi="宋体" w:eastAsia="宋体" w:cs="宋体"/>
          <w:b/>
          <w:bCs/>
          <w:color w:val="auto"/>
          <w:sz w:val="44"/>
          <w:szCs w:val="44"/>
          <w:highlight w:val="none"/>
        </w:rPr>
        <w:t xml:space="preserve">四章  采购需求</w:t>
      </w:r>
      <w:bookmarkEnd w:id="199"/>
      <w:r/>
      <w:bookmarkEnd w:id="200"/>
      <w:r/>
      <w:bookmarkEnd w:id="201"/>
      <w:r/>
      <w:bookmarkEnd w:id="204"/>
      <w:r/>
      <w:bookmarkStart w:id="205" w:name="_Toc49090575"/>
      <w:r/>
      <w:bookmarkStart w:id="206" w:name="_Toc26554093"/>
      <w:r/>
      <w:r/>
    </w:p>
    <w:p>
      <w:pPr>
        <w:ind w:firstLine="562"/>
        <w:spacing w:line="500" w:lineRule="exact"/>
        <w:rPr>
          <w:rFonts w:hint="eastAsia" w:ascii="宋体" w:hAnsi="宋体" w:eastAsia="宋体" w:cs="宋体"/>
          <w:b/>
          <w:color w:val="auto"/>
          <w:sz w:val="28"/>
          <w:szCs w:val="28"/>
          <w:highlight w:val="none"/>
        </w:rPr>
      </w:pPr>
      <w:r/>
      <w:bookmarkStart w:id="207" w:name="_Toc120614281"/>
      <w:r>
        <w:rPr>
          <w:rFonts w:hint="eastAsia" w:ascii="宋体" w:hAnsi="宋体" w:eastAsia="宋体" w:cs="宋体"/>
          <w:b/>
          <w:color w:val="auto"/>
          <w:sz w:val="28"/>
          <w:szCs w:val="28"/>
          <w:highlight w:val="none"/>
          <w:lang w:val="en-US" w:eastAsia="zh-CN"/>
        </w:rPr>
        <w:t xml:space="preserve">项目情况说明：</w:t>
      </w:r>
      <w:r/>
    </w:p>
    <w:p>
      <w:pPr>
        <w:ind w:firstLine="562"/>
        <w:spacing w:line="50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 xml:space="preserve">1.</w:t>
      </w:r>
      <w:r>
        <w:rPr>
          <w:rFonts w:hint="eastAsia" w:ascii="宋体" w:hAnsi="宋体" w:eastAsia="宋体" w:cs="宋体"/>
          <w:b/>
          <w:color w:val="auto"/>
          <w:sz w:val="24"/>
          <w:szCs w:val="24"/>
          <w:highlight w:val="none"/>
        </w:rPr>
        <w:t xml:space="preserve">本项目属性：</w:t>
      </w:r>
      <w:r>
        <w:rPr>
          <w:rFonts w:hint="eastAsia" w:ascii="宋体" w:hAnsi="宋体" w:eastAsia="宋体" w:cs="宋体"/>
          <w:bCs/>
          <w:color w:val="auto"/>
          <w:sz w:val="24"/>
          <w:szCs w:val="24"/>
          <w:highlight w:val="none"/>
        </w:rPr>
        <w:t xml:space="preserve">服务类项目</w:t>
      </w:r>
      <w:r/>
    </w:p>
    <w:p>
      <w:pPr>
        <w:ind w:firstLine="562"/>
        <w:spacing w:line="50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 xml:space="preserve">2.</w:t>
      </w:r>
      <w:r>
        <w:rPr>
          <w:rFonts w:hint="eastAsia" w:ascii="宋体" w:hAnsi="宋体" w:eastAsia="宋体" w:cs="宋体"/>
          <w:b/>
          <w:color w:val="auto"/>
          <w:sz w:val="24"/>
          <w:szCs w:val="24"/>
          <w:highlight w:val="none"/>
        </w:rPr>
        <w:t xml:space="preserve">本项目采购标的对应的中小企业划分标准所属行业：</w:t>
      </w:r>
      <w:r>
        <w:rPr>
          <w:rFonts w:hint="eastAsia" w:ascii="宋体" w:hAnsi="宋体" w:eastAsia="宋体" w:cs="宋体"/>
          <w:b w:val="0"/>
          <w:bCs/>
          <w:color w:val="auto"/>
          <w:sz w:val="24"/>
          <w:szCs w:val="24"/>
          <w:highlight w:val="none"/>
          <w:lang w:val="en-US" w:eastAsia="zh-CN"/>
        </w:rPr>
        <w:t xml:space="preserve">其他未列明行业</w:t>
      </w:r>
      <w:r>
        <w:rPr>
          <w:rFonts w:hint="eastAsia" w:ascii="宋体" w:hAnsi="宋体" w:eastAsia="宋体" w:cs="宋体"/>
          <w:bCs/>
          <w:color w:val="auto"/>
          <w:sz w:val="24"/>
          <w:szCs w:val="24"/>
          <w:highlight w:val="none"/>
        </w:rPr>
        <w:t xml:space="preserve">。</w:t>
      </w:r>
      <w:r/>
    </w:p>
    <w:p>
      <w:pPr>
        <w:ind w:firstLine="562"/>
        <w:spacing w:line="50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 xml:space="preserve">3.</w:t>
      </w:r>
      <w:r>
        <w:rPr>
          <w:rFonts w:hint="eastAsia" w:ascii="宋体" w:hAnsi="宋体" w:eastAsia="宋体" w:cs="宋体"/>
          <w:b/>
          <w:color w:val="auto"/>
          <w:sz w:val="24"/>
          <w:szCs w:val="24"/>
          <w:highlight w:val="none"/>
        </w:rPr>
        <w:t xml:space="preserve">本项目不接受进口产品。</w:t>
      </w:r>
      <w:r/>
    </w:p>
    <w:p>
      <w:pPr>
        <w:ind w:firstLine="562"/>
        <w:keepLines w:val="0"/>
        <w:keepNext w:val="0"/>
        <w:pageBreakBefore w:val="0"/>
        <w:spacing w:line="500" w:lineRule="exact"/>
        <w:widowControl w:val="off"/>
        <w:rPr>
          <w:rFonts w:hint="eastAsia" w:ascii="宋体" w:hAnsi="宋体" w:eastAsia="宋体" w:cs="宋体"/>
          <w:b/>
          <w:color w:val="auto"/>
          <w:sz w:val="28"/>
          <w:szCs w:val="28"/>
          <w:highlight w:val="none"/>
        </w:rPr>
        <w:outlineLvl w:val="2"/>
      </w:pPr>
      <w:r>
        <w:rPr>
          <w:rFonts w:hint="eastAsia" w:ascii="宋体" w:hAnsi="宋体" w:eastAsia="宋体" w:cs="宋体"/>
          <w:b/>
          <w:color w:val="auto"/>
          <w:sz w:val="28"/>
          <w:szCs w:val="28"/>
          <w:highlight w:val="none"/>
          <w:lang w:val="en-US" w:eastAsia="zh-CN"/>
        </w:rPr>
        <w:t xml:space="preserve">一、项目背景</w:t>
      </w:r>
      <w:r/>
    </w:p>
    <w:p>
      <w:pPr>
        <w:ind w:firstLine="560"/>
        <w:keepLines w:val="0"/>
        <w:keepNext w:val="0"/>
        <w:pageBreakBefore w:val="0"/>
        <w:spacing w:line="500" w:lineRule="exact"/>
        <w:widowControl w:val="off"/>
        <w:tabs>
          <w:tab w:val="left" w:pos="945" w:leader="none"/>
        </w:tabs>
        <w:rPr>
          <w:rFonts w:hint="eastAsia" w:ascii="宋体" w:hAnsi="宋体" w:eastAsia="宋体" w:cs="宋体"/>
          <w:color w:val="auto"/>
          <w:sz w:val="28"/>
          <w:szCs w:val="28"/>
          <w:highlight w:val="none"/>
        </w:rPr>
        <w:outlineLvl w:val="9"/>
      </w:pPr>
      <w:r/>
      <w:bookmarkStart w:id="208" w:name="_Toc135826238"/>
      <w:r>
        <w:rPr>
          <w:rFonts w:hint="eastAsia" w:ascii="宋体" w:hAnsi="宋体" w:eastAsia="宋体" w:cs="宋体"/>
          <w:color w:val="auto"/>
          <w:sz w:val="28"/>
          <w:szCs w:val="28"/>
          <w:highlight w:val="none"/>
        </w:rPr>
        <w:t xml:space="preserve">生物多样性是人类生存与发展的基本条件，经济社会可持续发展的物质基础，也是生态安全的重要保障。党中央、国务院高度重视生物多样性保护工作，将生物多样性保护上升为国家战略。近年来，我省相继出</w:t>
      </w:r>
      <w:r>
        <w:rPr>
          <w:rFonts w:hint="eastAsia" w:ascii="宋体" w:hAnsi="宋体" w:eastAsia="宋体" w:cs="宋体"/>
          <w:color w:val="auto"/>
          <w:sz w:val="28"/>
          <w:szCs w:val="28"/>
          <w:highlight w:val="none"/>
        </w:rPr>
        <w:t xml:space="preserve">台《江苏省生物多样性保护战略与行动纲要（2024-2035年）》（苏环发〔2024〕11号）、《江苏省新一轮生物多样性本底调查技术要求（试行）》，对生物多样性调查监测工作作出具体部署，要求通过新一轮调查，更新完善我省生物多样性本底数据，掌握生态系统多样性和物种多样性现状及变化情况，推动重要生态系统、生物物种和生物遗传资源得到全面有效保护。在此背景下，宿迁市市区拟开展新一轮生物多样性本底调查工作，系统掌握辖区生物多样性信息，进一步提升生物多样性保护基础能力，实现生物物种资源长效管理，为管理和决策提供科学依据。</w:t>
      </w:r>
      <w:bookmarkEnd w:id="208"/>
      <w:r/>
      <w:r/>
    </w:p>
    <w:p>
      <w:pPr>
        <w:ind w:firstLine="562"/>
        <w:keepLines w:val="0"/>
        <w:keepNext w:val="0"/>
        <w:pageBreakBefore w:val="0"/>
        <w:spacing w:line="500" w:lineRule="exact"/>
        <w:widowControl w:val="off"/>
        <w:rPr>
          <w:rFonts w:hint="eastAsia" w:ascii="宋体" w:hAnsi="宋体" w:eastAsia="宋体" w:cs="宋体"/>
          <w:b/>
          <w:color w:val="auto"/>
          <w:sz w:val="28"/>
          <w:szCs w:val="28"/>
          <w:highlight w:val="none"/>
          <w:lang w:val="en-US" w:eastAsia="zh-CN"/>
        </w:rPr>
        <w:outlineLvl w:val="2"/>
      </w:pPr>
      <w:r>
        <w:rPr>
          <w:rFonts w:hint="eastAsia" w:ascii="宋体" w:hAnsi="宋体" w:eastAsia="宋体" w:cs="宋体"/>
          <w:b/>
          <w:color w:val="auto"/>
          <w:sz w:val="28"/>
          <w:szCs w:val="28"/>
          <w:highlight w:val="none"/>
          <w:lang w:val="en-US" w:eastAsia="zh-CN"/>
        </w:rPr>
        <w:t xml:space="preserve">二</w:t>
      </w:r>
      <w:r>
        <w:rPr>
          <w:rFonts w:hint="eastAsia" w:ascii="宋体" w:hAnsi="宋体" w:eastAsia="宋体" w:cs="宋体"/>
          <w:b/>
          <w:color w:val="auto"/>
          <w:sz w:val="28"/>
          <w:szCs w:val="28"/>
          <w:highlight w:val="none"/>
        </w:rPr>
        <w:t xml:space="preserve">、工作范围</w:t>
      </w:r>
      <w:r>
        <w:rPr>
          <w:rFonts w:hint="eastAsia" w:ascii="宋体" w:hAnsi="宋体" w:eastAsia="宋体" w:cs="宋体"/>
          <w:b/>
          <w:color w:val="auto"/>
          <w:sz w:val="28"/>
          <w:szCs w:val="28"/>
          <w:highlight w:val="none"/>
          <w:lang w:eastAsia="zh-CN"/>
        </w:rPr>
        <w:t xml:space="preserve">、</w:t>
      </w:r>
      <w:r>
        <w:rPr>
          <w:rFonts w:hint="eastAsia" w:ascii="宋体" w:hAnsi="宋体" w:eastAsia="宋体" w:cs="宋体"/>
          <w:b/>
          <w:color w:val="auto"/>
          <w:sz w:val="28"/>
          <w:szCs w:val="28"/>
          <w:highlight w:val="none"/>
          <w:lang w:val="en-US" w:eastAsia="zh-CN"/>
        </w:rPr>
        <w:t xml:space="preserve">工作内容和工作要求</w:t>
      </w:r>
      <w:r/>
    </w:p>
    <w:p>
      <w:pPr>
        <w:pStyle w:val="1145"/>
        <w:ind w:firstLine="560"/>
        <w:keepLines w:val="0"/>
        <w:keepNext w:val="0"/>
        <w:pageBreakBefore w:val="0"/>
        <w:spacing w:line="500" w:lineRule="exact"/>
        <w:rPr>
          <w:rFonts w:hint="eastAsia" w:ascii="宋体" w:hAnsi="宋体" w:eastAsia="宋体" w:cs="宋体"/>
          <w:bCs/>
          <w:color w:val="auto"/>
          <w:sz w:val="28"/>
          <w:szCs w:val="28"/>
          <w:highlight w:val="none"/>
          <w:lang w:val="en-US" w:eastAsia="zh-CN"/>
        </w:rPr>
      </w:pPr>
      <w:r>
        <w:rPr>
          <w:rFonts w:hint="eastAsia" w:ascii="宋体" w:hAnsi="宋体" w:eastAsia="宋体" w:cs="宋体"/>
          <w:color w:val="auto"/>
          <w:sz w:val="28"/>
          <w:szCs w:val="28"/>
          <w:highlight w:val="none"/>
        </w:rPr>
        <w:t xml:space="preserve">本项目要按照省生态环境厅关于印发《江苏省新一轮生物多样性调查工作方案》的通知（苏环办〔2025〕177号）要求实施，调查技术及相关成果必须达到《江苏省新一轮生物多样性本底调查技术要求（试行）》规定</w:t>
      </w:r>
      <w:r>
        <w:rPr>
          <w:rFonts w:hint="eastAsia" w:ascii="宋体" w:hAnsi="宋体" w:eastAsia="宋体" w:cs="宋体"/>
          <w:color w:val="auto"/>
          <w:sz w:val="28"/>
          <w:szCs w:val="28"/>
          <w:highlight w:val="none"/>
          <w:lang w:eastAsia="zh-CN"/>
        </w:rPr>
        <w:t xml:space="preserve">。</w:t>
      </w:r>
      <w:r/>
    </w:p>
    <w:p>
      <w:pPr>
        <w:ind w:firstLine="560"/>
        <w:spacing w:line="500" w:lineRule="exact"/>
        <w:rPr>
          <w:rFonts w:hint="eastAsia" w:ascii="宋体" w:hAnsi="宋体" w:eastAsia="宋体" w:cs="宋体"/>
          <w:bCs/>
          <w:color w:val="auto"/>
          <w:sz w:val="28"/>
          <w:szCs w:val="28"/>
          <w:highlight w:val="none"/>
          <w:lang w:val="en-US" w:eastAsia="zh-CN"/>
        </w:rPr>
      </w:pPr>
      <w:r>
        <w:rPr>
          <w:rFonts w:hint="eastAsia" w:ascii="宋体" w:hAnsi="宋体" w:eastAsia="宋体" w:cs="宋体"/>
          <w:bCs/>
          <w:color w:val="auto"/>
          <w:sz w:val="28"/>
          <w:szCs w:val="28"/>
          <w:highlight w:val="none"/>
          <w:lang w:val="en-US" w:eastAsia="zh-CN"/>
        </w:rPr>
        <w:t xml:space="preserve">1.工作范围：</w:t>
      </w:r>
      <w:r>
        <w:rPr>
          <w:rFonts w:hint="eastAsia" w:ascii="宋体" w:hAnsi="宋体" w:eastAsia="宋体" w:cs="宋体"/>
          <w:color w:val="auto"/>
          <w:sz w:val="28"/>
          <w:szCs w:val="28"/>
          <w:highlight w:val="none"/>
        </w:rPr>
        <w:t xml:space="preserve">工作范围为宿迁市市区，即宿豫区、宿城区以及市经开区、湖滨新区、洋河新区、苏宿园区，重点关注骆马湖、洪泽湖（成子湖）等湖泊。</w:t>
      </w:r>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bCs/>
          <w:color w:val="auto"/>
          <w:sz w:val="28"/>
          <w:szCs w:val="28"/>
          <w:highlight w:val="none"/>
          <w:lang w:val="en-US" w:eastAsia="zh-CN"/>
        </w:rPr>
        <w:t xml:space="preserve">2.工作内容：</w:t>
      </w:r>
      <w:r>
        <w:rPr>
          <w:rFonts w:hint="eastAsia" w:ascii="宋体" w:hAnsi="宋体" w:eastAsia="宋体" w:cs="宋体"/>
          <w:color w:val="auto"/>
          <w:sz w:val="28"/>
          <w:szCs w:val="28"/>
          <w:highlight w:val="none"/>
        </w:rPr>
        <w:t xml:space="preserve">生态系统多样性调查：运用卫星遥感影像、地理信息系统（GIS）等技术手段，结合地面实地核查，识别生态系统类型，为物种多样性调查提供基础依据。评估生态系统结构与功能、破碎化程度，识别生态脆弱区、生态廊道等关键区域，分析人类活动对生态系统的胁迫影响，提出优先保护或修复建议，为生态系统保护和管理提供科学依据。</w:t>
      </w:r>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物种多样性调查：开展大型真菌、地衣和苔藓、陆生维管植物、陆生脊椎动物（两栖动物、爬行动物、鸟类、哺乳动物）、陆生昆虫、大中型土壤动物、淡水水生生物（鱼类、底栖动物、浮游动物、浮游植物、着生藻类、水生维管植物）共7大类群物种多样性调查，更新宿迁市市区物种种类组成、分布状况、生境类型，特别是重点保护物种、受威胁物种和外来入侵物种的种类组成、数量、分布状况、生境类型、保护现状、受威胁现状等，根据各县域单元不同生物类群特点，分析变化特点、趋势，提出管理对策和措施建议。</w:t>
      </w:r>
      <w:r/>
    </w:p>
    <w:p>
      <w:pPr>
        <w:numPr>
          <w:ilvl w:val="0"/>
          <w:numId w:val="0"/>
        </w:numPr>
        <w:ind w:firstLine="562"/>
        <w:spacing w:line="500" w:lineRule="exact"/>
        <w:rPr>
          <w:rFonts w:hint="eastAsia" w:ascii="宋体" w:hAnsi="宋体" w:eastAsia="宋体" w:cs="宋体"/>
          <w:color w:val="auto"/>
          <w:sz w:val="28"/>
          <w:szCs w:val="28"/>
          <w:highlight w:val="none"/>
        </w:rPr>
      </w:pPr>
      <w:r>
        <w:rPr>
          <w:rFonts w:hint="eastAsia" w:ascii="宋体" w:hAnsi="宋体" w:eastAsia="宋体" w:cs="宋体"/>
          <w:b/>
          <w:color w:val="auto"/>
          <w:sz w:val="28"/>
          <w:szCs w:val="28"/>
          <w:highlight w:val="none"/>
          <w:lang w:val="en-US" w:eastAsia="zh-CN"/>
        </w:rPr>
        <w:t xml:space="preserve">3.</w:t>
      </w:r>
      <w:r>
        <w:rPr>
          <w:rFonts w:hint="eastAsia" w:ascii="宋体" w:hAnsi="宋体" w:eastAsia="宋体" w:cs="宋体"/>
          <w:color w:val="auto"/>
          <w:sz w:val="28"/>
          <w:szCs w:val="28"/>
          <w:highlight w:val="none"/>
        </w:rPr>
        <w:t xml:space="preserve">调查时间和频次</w:t>
      </w:r>
      <w:r/>
    </w:p>
    <w:p>
      <w:pPr>
        <w:ind w:firstLine="560"/>
        <w:spacing w:line="500" w:lineRule="exact"/>
        <w:tabs>
          <w:tab w:val="left" w:pos="312" w:leader="none"/>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en-US" w:eastAsia="zh-CN"/>
        </w:rPr>
        <w:t xml:space="preserve">3.1</w:t>
      </w:r>
      <w:r>
        <w:rPr>
          <w:rFonts w:hint="eastAsia" w:ascii="宋体" w:hAnsi="宋体" w:eastAsia="宋体" w:cs="宋体"/>
          <w:color w:val="auto"/>
          <w:sz w:val="28"/>
          <w:szCs w:val="28"/>
          <w:highlight w:val="none"/>
        </w:rPr>
        <w:t xml:space="preserve">大型真菌全年至少调查3次（建议5-10月，可根据调查区域内大型真菌实际生长状况调整）。</w:t>
      </w:r>
      <w:r/>
    </w:p>
    <w:p>
      <w:pPr>
        <w:ind w:firstLine="560"/>
        <w:spacing w:line="500" w:lineRule="exact"/>
        <w:tabs>
          <w:tab w:val="left" w:pos="312" w:leader="none"/>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en-US" w:eastAsia="zh-CN"/>
        </w:rPr>
        <w:t xml:space="preserve">3.2</w:t>
      </w:r>
      <w:r>
        <w:rPr>
          <w:rFonts w:hint="eastAsia" w:ascii="宋体" w:hAnsi="宋体" w:eastAsia="宋体" w:cs="宋体"/>
          <w:color w:val="auto"/>
          <w:sz w:val="28"/>
          <w:szCs w:val="28"/>
          <w:highlight w:val="none"/>
        </w:rPr>
        <w:t xml:space="preserve">地衣和苔藓全年至少开展2次野外调查，可选择地衣和苔藓生长旺盛期进行，苔藓的调查适合选择春季和秋季的雨后或潮湿天气，地衣的观测时间不限。</w:t>
      </w:r>
      <w:r/>
    </w:p>
    <w:p>
      <w:pPr>
        <w:ind w:firstLine="560"/>
        <w:spacing w:line="500" w:lineRule="exact"/>
        <w:tabs>
          <w:tab w:val="left" w:pos="312" w:leader="none"/>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en-US" w:eastAsia="zh-CN"/>
        </w:rPr>
        <w:t xml:space="preserve">3.3</w:t>
      </w:r>
      <w:r>
        <w:rPr>
          <w:rFonts w:hint="eastAsia" w:ascii="宋体" w:hAnsi="宋体" w:eastAsia="宋体" w:cs="宋体"/>
          <w:color w:val="auto"/>
          <w:sz w:val="28"/>
          <w:szCs w:val="28"/>
          <w:highlight w:val="none"/>
        </w:rPr>
        <w:t xml:space="preserve">陆生维管植物野外调查工作主要在2月至11月开展，全年至少调查3次，分别在春季、夏季及秋季开展。</w:t>
      </w:r>
      <w:r/>
    </w:p>
    <w:p>
      <w:pPr>
        <w:ind w:firstLine="560"/>
        <w:spacing w:line="500" w:lineRule="exact"/>
        <w:tabs>
          <w:tab w:val="left" w:pos="312" w:leader="none"/>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en-US" w:eastAsia="zh-CN"/>
        </w:rPr>
        <w:t xml:space="preserve">3.4</w:t>
      </w:r>
      <w:r>
        <w:rPr>
          <w:rFonts w:hint="eastAsia" w:ascii="宋体" w:hAnsi="宋体" w:eastAsia="宋体" w:cs="宋体"/>
          <w:color w:val="auto"/>
          <w:sz w:val="28"/>
          <w:szCs w:val="28"/>
          <w:highlight w:val="none"/>
        </w:rPr>
        <w:t xml:space="preserve">陆生脊椎动物中两栖动物全年开展2次调查，分别在繁殖期（4-5月）和非繁殖期（6-9月）进行；爬行动物全年开展3次调查，分别在繁殖前（3-4月）、繁殖期（5-6月）和繁殖后（8-9月）进行；鸟类全年开展9次调查，分别在越冬期（12月-次年2月，3次）、春季迁徙期（4-5月，2次）、繁殖期（6-7月，2次）、秋季迁徙期（9-10月，2次）进行；哺乳动物红外相机全季节布设，单次工作时长不少于60天。</w:t>
      </w:r>
      <w:r/>
    </w:p>
    <w:p>
      <w:pPr>
        <w:ind w:firstLine="560"/>
        <w:spacing w:line="500" w:lineRule="exact"/>
        <w:tabs>
          <w:tab w:val="left" w:pos="312" w:leader="none"/>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en-US" w:eastAsia="zh-CN"/>
        </w:rPr>
        <w:t xml:space="preserve">3.5</w:t>
      </w:r>
      <w:r>
        <w:rPr>
          <w:rFonts w:hint="eastAsia" w:ascii="宋体" w:hAnsi="宋体" w:eastAsia="宋体" w:cs="宋体"/>
          <w:color w:val="auto"/>
          <w:sz w:val="28"/>
          <w:szCs w:val="28"/>
          <w:highlight w:val="none"/>
        </w:rPr>
        <w:t xml:space="preserve">大中型土壤动物全年开展2次调查，分别在春季、秋季进行。</w:t>
      </w:r>
      <w:r/>
    </w:p>
    <w:p>
      <w:pPr>
        <w:ind w:firstLine="560"/>
        <w:spacing w:line="500" w:lineRule="exact"/>
        <w:tabs>
          <w:tab w:val="left" w:pos="312" w:leader="none"/>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en-US" w:eastAsia="zh-CN"/>
        </w:rPr>
        <w:t xml:space="preserve">3.6</w:t>
      </w:r>
      <w:r>
        <w:rPr>
          <w:rFonts w:hint="eastAsia" w:ascii="宋体" w:hAnsi="宋体" w:eastAsia="宋体" w:cs="宋体"/>
          <w:color w:val="auto"/>
          <w:sz w:val="28"/>
          <w:szCs w:val="28"/>
          <w:highlight w:val="none"/>
        </w:rPr>
        <w:t xml:space="preserve">淡水水生生物除着生藻类全年开展1次（枯水期或平水期）调查外，其余类群全年开展2次调查，分别在春季、秋季进行。</w:t>
      </w:r>
      <w:r/>
    </w:p>
    <w:p>
      <w:pPr>
        <w:ind w:firstLine="562"/>
        <w:keepLines w:val="0"/>
        <w:keepNext w:val="0"/>
        <w:pageBreakBefore w:val="0"/>
        <w:spacing w:line="500" w:lineRule="exact"/>
        <w:widowControl w:val="off"/>
        <w:rPr>
          <w:rFonts w:hint="eastAsia" w:ascii="宋体" w:hAnsi="宋体" w:eastAsia="宋体" w:cs="宋体"/>
          <w:b/>
          <w:color w:val="auto"/>
          <w:sz w:val="28"/>
          <w:szCs w:val="28"/>
          <w:highlight w:val="none"/>
          <w:lang w:val="en-US" w:eastAsia="zh-CN"/>
        </w:rPr>
        <w:outlineLvl w:val="9"/>
      </w:pPr>
      <w:r>
        <w:rPr>
          <w:rFonts w:hint="eastAsia" w:ascii="宋体" w:hAnsi="宋体" w:eastAsia="宋体" w:cs="宋体"/>
          <w:color w:val="auto"/>
          <w:sz w:val="28"/>
          <w:szCs w:val="28"/>
          <w:highlight w:val="none"/>
          <w:lang w:val="en-US" w:eastAsia="zh-CN"/>
        </w:rPr>
        <w:t xml:space="preserve">3.7</w:t>
      </w:r>
      <w:r>
        <w:rPr>
          <w:rFonts w:hint="eastAsia" w:ascii="宋体" w:hAnsi="宋体" w:eastAsia="宋体" w:cs="宋体"/>
          <w:color w:val="auto"/>
          <w:sz w:val="28"/>
          <w:szCs w:val="28"/>
          <w:highlight w:val="none"/>
        </w:rPr>
        <w:t xml:space="preserve">如有其他事项，按照苏环办〔2025〕177号规定落实。</w:t>
      </w:r>
      <w:r/>
    </w:p>
    <w:p>
      <w:pPr>
        <w:ind w:firstLine="700"/>
        <w:keepLines w:val="0"/>
        <w:keepNext w:val="0"/>
        <w:pageBreakBefore w:val="0"/>
        <w:spacing w:line="500" w:lineRule="exact"/>
        <w:rPr>
          <w:rFonts w:hint="eastAsia" w:ascii="宋体" w:hAnsi="宋体" w:eastAsia="宋体" w:cs="宋体"/>
          <w:b/>
          <w:bCs/>
          <w:color w:val="auto"/>
          <w:sz w:val="28"/>
          <w:szCs w:val="28"/>
          <w:highlight w:val="none"/>
        </w:rPr>
        <w:outlineLvl w:val="2"/>
      </w:pPr>
      <w:r>
        <w:rPr>
          <w:rFonts w:hint="eastAsia" w:ascii="宋体" w:hAnsi="宋体" w:eastAsia="宋体" w:cs="宋体"/>
          <w:b/>
          <w:color w:val="auto"/>
          <w:sz w:val="28"/>
          <w:szCs w:val="28"/>
          <w:highlight w:val="none"/>
          <w:lang w:val="en-US" w:eastAsia="zh-CN"/>
        </w:rPr>
        <w:t xml:space="preserve">三、成果要求</w:t>
      </w:r>
      <w:r>
        <w:rPr>
          <w:rFonts w:hint="eastAsia" w:ascii="宋体" w:hAnsi="宋体" w:eastAsia="宋体" w:cs="宋体"/>
          <w:b/>
          <w:color w:val="auto"/>
          <w:sz w:val="28"/>
          <w:szCs w:val="28"/>
          <w:highlight w:val="none"/>
          <w:lang w:val="en-US" w:eastAsia="zh-CN" w:bidi="ar-SA"/>
        </w:rPr>
        <w:t xml:space="preserve"> </w:t>
      </w:r>
      <w:r/>
    </w:p>
    <w:p>
      <w:pPr>
        <w:numPr>
          <w:ilvl w:val="0"/>
          <w:numId w:val="0"/>
        </w:num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en-US" w:eastAsia="zh-CN" w:bidi="ar-SA"/>
        </w:rPr>
        <w:t xml:space="preserve">1.</w:t>
      </w:r>
      <w:r>
        <w:rPr>
          <w:rFonts w:hint="eastAsia" w:ascii="宋体" w:hAnsi="宋体" w:eastAsia="宋体" w:cs="宋体"/>
          <w:color w:val="auto"/>
          <w:sz w:val="28"/>
          <w:szCs w:val="28"/>
          <w:highlight w:val="none"/>
        </w:rPr>
        <w:t xml:space="preserve">根据《江苏省新一轮生物多样性本底调查技术要求（试行）》提交市区（宿豫区、宿城区及其他功能区）生物多样性本底调查实施方案、工作报告、技术报告和编目报告。</w:t>
      </w:r>
      <w:r/>
    </w:p>
    <w:p>
      <w:pPr>
        <w:numPr>
          <w:ilvl w:val="0"/>
          <w:numId w:val="0"/>
        </w:num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en-US" w:eastAsia="zh-CN" w:bidi="ar-SA"/>
        </w:rPr>
        <w:t xml:space="preserve">2.</w:t>
      </w:r>
      <w:r>
        <w:rPr>
          <w:rFonts w:hint="eastAsia" w:ascii="宋体" w:hAnsi="宋体" w:eastAsia="宋体" w:cs="宋体"/>
          <w:color w:val="auto"/>
          <w:sz w:val="28"/>
          <w:szCs w:val="28"/>
          <w:highlight w:val="none"/>
        </w:rPr>
        <w:t xml:space="preserve">按照统一的表格制式和填报要求完成野外调查相关成果数据上报，包括电子标本、工作照、生境照、调查轨迹（样线法）、结果数据表、现场调查记录表等。</w:t>
      </w:r>
      <w:r/>
    </w:p>
    <w:p>
      <w:pPr>
        <w:pStyle w:val="1097"/>
        <w:ind w:firstLine="562"/>
        <w:keepLines w:val="0"/>
        <w:keepNext w:val="0"/>
        <w:pageBreakBefore w:val="0"/>
        <w:spacing w:line="500" w:lineRule="exact"/>
        <w:rPr>
          <w:rFonts w:hint="eastAsia" w:ascii="宋体" w:hAnsi="宋体" w:eastAsia="宋体" w:cs="宋体"/>
          <w:b/>
          <w:color w:val="auto"/>
          <w:sz w:val="28"/>
          <w:szCs w:val="28"/>
          <w:highlight w:val="none"/>
          <w:lang w:val="en-US" w:eastAsia="zh-CN" w:bidi="ar-SA"/>
        </w:rPr>
        <w:outlineLvl w:val="2"/>
      </w:pPr>
      <w:r>
        <w:rPr>
          <w:rFonts w:hint="eastAsia" w:ascii="宋体" w:hAnsi="宋体" w:eastAsia="宋体" w:cs="宋体"/>
          <w:b/>
          <w:color w:val="auto"/>
          <w:sz w:val="28"/>
          <w:szCs w:val="28"/>
          <w:highlight w:val="none"/>
          <w:lang w:val="en-US" w:eastAsia="zh-CN" w:bidi="ar-SA"/>
        </w:rPr>
        <w:t xml:space="preserve">四、项目实施要求</w:t>
      </w:r>
      <w:r/>
    </w:p>
    <w:p>
      <w:pPr>
        <w:pStyle w:val="1097"/>
        <w:ind w:firstLine="560"/>
        <w:keepLines w:val="0"/>
        <w:keepNext w:val="0"/>
        <w:pageBreakBefore w:val="0"/>
        <w:spacing w:line="500" w:lineRule="exact"/>
        <w:rPr>
          <w:rFonts w:hint="eastAsia" w:ascii="宋体" w:hAnsi="宋体" w:eastAsia="宋体" w:cs="宋体"/>
          <w:bCs/>
          <w:color w:val="auto"/>
          <w:sz w:val="28"/>
          <w:szCs w:val="28"/>
          <w:highlight w:val="none"/>
          <w:lang w:val="en-US" w:eastAsia="zh-CN"/>
        </w:rPr>
      </w:pPr>
      <w:r>
        <w:rPr>
          <w:rFonts w:hint="eastAsia" w:ascii="宋体" w:hAnsi="宋体" w:eastAsia="宋体" w:cs="宋体"/>
          <w:bCs/>
          <w:color w:val="auto"/>
          <w:sz w:val="28"/>
          <w:szCs w:val="28"/>
          <w:highlight w:val="none"/>
          <w:lang w:val="en-US" w:eastAsia="zh-CN"/>
        </w:rPr>
        <w:t xml:space="preserve">1.项目理解方案：项目理解方案中工作范围全面完整，具体工作目标和内容清晰明确；工作原则阐述透彻，工作程序详细具体、计划性强，阐述清晰且完全符合相关导则要求；报告章节框架安排科学合理、完全符合导则要求，单元划分精准合理、贴合导则规范。</w:t>
      </w:r>
      <w:r/>
    </w:p>
    <w:p>
      <w:pPr>
        <w:pStyle w:val="1097"/>
        <w:ind w:firstLine="560"/>
        <w:keepLines w:val="0"/>
        <w:keepNext w:val="0"/>
        <w:pageBreakBefore w:val="0"/>
        <w:spacing w:line="500" w:lineRule="exact"/>
        <w:rPr>
          <w:rFonts w:hint="eastAsia" w:ascii="宋体" w:hAnsi="宋体" w:eastAsia="宋体" w:cs="宋体"/>
          <w:bCs/>
          <w:color w:val="auto"/>
          <w:sz w:val="28"/>
          <w:szCs w:val="28"/>
          <w:highlight w:val="none"/>
          <w:lang w:val="en-US" w:eastAsia="zh-CN"/>
        </w:rPr>
      </w:pPr>
      <w:r>
        <w:rPr>
          <w:rFonts w:hint="eastAsia" w:ascii="宋体" w:hAnsi="宋体" w:eastAsia="宋体" w:cs="宋体"/>
          <w:bCs/>
          <w:color w:val="auto"/>
          <w:sz w:val="28"/>
          <w:szCs w:val="28"/>
          <w:highlight w:val="none"/>
          <w:lang w:val="en-US" w:eastAsia="zh-CN"/>
        </w:rPr>
        <w:t xml:space="preserve">2.项目调查方案：对项目的工作内容理解充分，且符合区域实际。</w:t>
      </w:r>
      <w:r/>
    </w:p>
    <w:p>
      <w:pPr>
        <w:pStyle w:val="1097"/>
        <w:ind w:firstLine="560"/>
        <w:keepLines w:val="0"/>
        <w:keepNext w:val="0"/>
        <w:pageBreakBefore w:val="0"/>
        <w:spacing w:line="500" w:lineRule="exact"/>
        <w:rPr>
          <w:rFonts w:hint="eastAsia" w:ascii="宋体" w:hAnsi="宋体" w:eastAsia="宋体" w:cs="宋体"/>
          <w:bCs/>
          <w:color w:val="auto"/>
          <w:sz w:val="28"/>
          <w:szCs w:val="28"/>
          <w:highlight w:val="none"/>
          <w:lang w:val="en-US" w:eastAsia="zh-CN"/>
        </w:rPr>
      </w:pPr>
      <w:r>
        <w:rPr>
          <w:rFonts w:hint="eastAsia" w:ascii="宋体" w:hAnsi="宋体" w:eastAsia="宋体" w:cs="宋体"/>
          <w:bCs/>
          <w:color w:val="auto"/>
          <w:sz w:val="28"/>
          <w:szCs w:val="28"/>
          <w:highlight w:val="none"/>
          <w:lang w:val="en-US" w:eastAsia="zh-CN"/>
        </w:rPr>
        <w:t xml:space="preserve">3.实施方案：对生物多样性本底调查重难点的理解程度高，报告编制大纲的合理性、准确性和可操作性强，完全贴合项目实际需求。</w:t>
      </w:r>
      <w:r/>
    </w:p>
    <w:p>
      <w:pPr>
        <w:pStyle w:val="1097"/>
        <w:ind w:firstLine="560"/>
        <w:keepLines w:val="0"/>
        <w:keepNext w:val="0"/>
        <w:pageBreakBefore w:val="0"/>
        <w:spacing w:line="500" w:lineRule="exact"/>
        <w:rPr>
          <w:rFonts w:hint="eastAsia" w:ascii="宋体" w:hAnsi="宋体" w:eastAsia="宋体" w:cs="宋体"/>
          <w:bCs/>
          <w:color w:val="auto"/>
          <w:sz w:val="28"/>
          <w:szCs w:val="28"/>
          <w:highlight w:val="none"/>
          <w:lang w:val="en-US" w:eastAsia="zh-CN"/>
        </w:rPr>
      </w:pPr>
      <w:r>
        <w:rPr>
          <w:rFonts w:hint="eastAsia" w:ascii="宋体" w:hAnsi="宋体" w:eastAsia="宋体" w:cs="宋体"/>
          <w:bCs/>
          <w:color w:val="auto"/>
          <w:sz w:val="28"/>
          <w:szCs w:val="28"/>
          <w:highlight w:val="none"/>
          <w:lang w:val="en-US" w:eastAsia="zh-CN"/>
        </w:rPr>
        <w:t xml:space="preserve">4.沟通联络机制评价：供应商提供投入本项目的人员团队情况，要有相应生物多样性调查行业专家联络沟通机制，与省、市、区各级生态环境主管部门协调对接机制，进度安排合理等方面。</w:t>
      </w:r>
      <w:r/>
    </w:p>
    <w:p>
      <w:pPr>
        <w:pStyle w:val="1097"/>
        <w:ind w:firstLine="560"/>
        <w:keepLines w:val="0"/>
        <w:keepNext w:val="0"/>
        <w:pageBreakBefore w:val="0"/>
        <w:spacing w:line="500" w:lineRule="exact"/>
        <w:rPr>
          <w:rFonts w:hint="eastAsia" w:ascii="宋体" w:hAnsi="宋体" w:eastAsia="宋体" w:cs="宋体"/>
          <w:bCs/>
          <w:color w:val="auto"/>
          <w:sz w:val="28"/>
          <w:szCs w:val="28"/>
          <w:highlight w:val="none"/>
          <w:lang w:val="en-US" w:eastAsia="zh-CN"/>
        </w:rPr>
      </w:pPr>
      <w:r>
        <w:rPr>
          <w:rFonts w:hint="eastAsia" w:ascii="宋体" w:hAnsi="宋体" w:eastAsia="宋体" w:cs="宋体"/>
          <w:bCs/>
          <w:color w:val="auto"/>
          <w:sz w:val="28"/>
          <w:szCs w:val="28"/>
          <w:highlight w:val="none"/>
          <w:lang w:val="en-US" w:eastAsia="zh-CN"/>
        </w:rPr>
        <w:t xml:space="preserve">5.进度实施计划；供应商针对本项目制定的编制进度安排科学合理，各项进度保证措施详细具体，各环节衔接紧凑顺畅，能全面针对采购需求，确保项目高效推进、按时高质量完成。</w:t>
      </w:r>
      <w:r/>
    </w:p>
    <w:p>
      <w:pPr>
        <w:ind w:firstLine="562"/>
        <w:keepLines w:val="0"/>
        <w:keepNext w:val="0"/>
        <w:pageBreakBefore w:val="0"/>
        <w:spacing w:line="500" w:lineRule="exact"/>
        <w:widowControl w:val="off"/>
        <w:rPr>
          <w:rFonts w:hint="eastAsia" w:ascii="宋体" w:hAnsi="宋体" w:eastAsia="宋体" w:cs="宋体"/>
          <w:b/>
          <w:color w:val="auto"/>
          <w:sz w:val="28"/>
          <w:szCs w:val="28"/>
          <w:highlight w:val="none"/>
        </w:rPr>
        <w:outlineLvl w:val="2"/>
      </w:pPr>
      <w:r>
        <w:rPr>
          <w:rFonts w:hint="eastAsia" w:ascii="宋体" w:hAnsi="宋体" w:eastAsia="宋体" w:cs="宋体"/>
          <w:b/>
          <w:color w:val="auto"/>
          <w:sz w:val="28"/>
          <w:szCs w:val="28"/>
          <w:highlight w:val="none"/>
          <w:lang w:val="en-US" w:eastAsia="zh-CN"/>
        </w:rPr>
        <w:t xml:space="preserve">五</w:t>
      </w:r>
      <w:r>
        <w:rPr>
          <w:rFonts w:hint="eastAsia" w:ascii="宋体" w:hAnsi="宋体" w:eastAsia="宋体" w:cs="宋体"/>
          <w:b/>
          <w:color w:val="auto"/>
          <w:sz w:val="28"/>
          <w:szCs w:val="28"/>
          <w:highlight w:val="none"/>
        </w:rPr>
        <w:t xml:space="preserve">、项目商务要求</w:t>
      </w:r>
      <w:r/>
    </w:p>
    <w:p>
      <w:pPr>
        <w:ind w:firstLine="562"/>
        <w:keepLines w:val="0"/>
        <w:keepNext w:val="0"/>
        <w:pageBreakBefore w:val="0"/>
        <w:spacing w:line="50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1</w:t>
      </w:r>
      <w:r>
        <w:rPr>
          <w:rFonts w:hint="eastAsia" w:ascii="宋体" w:hAnsi="宋体" w:eastAsia="宋体" w:cs="宋体"/>
          <w:bCs/>
          <w:color w:val="auto"/>
          <w:sz w:val="28"/>
          <w:szCs w:val="28"/>
          <w:highlight w:val="none"/>
          <w:lang w:val="en-US" w:eastAsia="zh-CN"/>
        </w:rPr>
        <w:t xml:space="preserve">.</w:t>
      </w:r>
      <w:r>
        <w:rPr>
          <w:rFonts w:hint="eastAsia" w:ascii="宋体" w:hAnsi="宋体" w:eastAsia="宋体" w:cs="宋体"/>
          <w:bCs/>
          <w:color w:val="auto"/>
          <w:sz w:val="28"/>
          <w:szCs w:val="28"/>
          <w:highlight w:val="none"/>
        </w:rPr>
        <w:t xml:space="preserve">实施地点：采购人指定地点。</w:t>
      </w:r>
      <w:r/>
    </w:p>
    <w:p>
      <w:pPr>
        <w:ind w:firstLine="562"/>
        <w:keepLines w:val="0"/>
        <w:keepNext w:val="0"/>
        <w:pageBreakBefore w:val="0"/>
        <w:spacing w:line="500" w:lineRule="exact"/>
        <w:widowControl w:val="off"/>
        <w:rPr>
          <w:rFonts w:hint="eastAsia" w:ascii="宋体" w:hAnsi="宋体" w:eastAsia="宋体" w:cs="宋体"/>
          <w:bCs/>
          <w:color w:val="auto"/>
          <w:sz w:val="28"/>
          <w:szCs w:val="28"/>
          <w:highlight w:val="none"/>
          <w:lang w:val="en-US" w:eastAsia="zh-CN"/>
        </w:rPr>
      </w:pPr>
      <w:r>
        <w:rPr>
          <w:rFonts w:hint="eastAsia" w:ascii="宋体" w:hAnsi="宋体" w:eastAsia="宋体" w:cs="宋体"/>
          <w:bCs/>
          <w:color w:val="auto"/>
          <w:sz w:val="28"/>
          <w:szCs w:val="28"/>
          <w:highlight w:val="none"/>
          <w:lang w:val="en-US" w:eastAsia="zh-CN"/>
        </w:rPr>
        <w:t xml:space="preserve">2.服务周期：</w:t>
      </w:r>
      <w:r>
        <w:rPr>
          <w:rFonts w:hint="eastAsia" w:ascii="宋体" w:hAnsi="宋体" w:cs="宋体"/>
          <w:bCs/>
          <w:color w:val="auto"/>
          <w:sz w:val="28"/>
          <w:szCs w:val="28"/>
          <w:highlight w:val="none"/>
          <w:lang w:val="en-US" w:eastAsia="zh-CN"/>
        </w:rPr>
        <w:t xml:space="preserve">15个月。其中：</w:t>
      </w:r>
      <w:r>
        <w:rPr>
          <w:rFonts w:hint="eastAsia" w:ascii="宋体" w:hAnsi="宋体" w:eastAsia="宋体" w:cs="宋体"/>
          <w:bCs/>
          <w:color w:val="auto"/>
          <w:sz w:val="28"/>
          <w:szCs w:val="28"/>
          <w:highlight w:val="none"/>
          <w:lang w:val="en-US" w:eastAsia="zh-CN"/>
        </w:rPr>
        <w:t xml:space="preserve">供应商需在成交后1个月内编制并提交实施方案，成交后12个月内完成野外调查，成交后15个月内编制完成全部成果报告并通过验收。</w:t>
      </w:r>
      <w:r/>
    </w:p>
    <w:p>
      <w:pPr>
        <w:ind w:firstLine="562"/>
        <w:keepLines w:val="0"/>
        <w:keepNext w:val="0"/>
        <w:pageBreakBefore w:val="0"/>
        <w:spacing w:line="500" w:lineRule="exact"/>
        <w:widowControl w:val="off"/>
        <w:rPr>
          <w:rFonts w:hint="eastAsia" w:ascii="宋体" w:hAnsi="宋体" w:eastAsia="宋体" w:cs="宋体"/>
          <w:bCs/>
          <w:color w:val="auto"/>
          <w:sz w:val="28"/>
          <w:szCs w:val="28"/>
          <w:highlight w:val="none"/>
          <w:lang w:eastAsia="zh-CN"/>
        </w:rPr>
      </w:pPr>
      <w:r>
        <w:rPr>
          <w:rFonts w:hint="eastAsia" w:ascii="宋体" w:hAnsi="宋体" w:eastAsia="宋体" w:cs="宋体"/>
          <w:bCs/>
          <w:color w:val="auto"/>
          <w:sz w:val="28"/>
          <w:szCs w:val="28"/>
          <w:highlight w:val="none"/>
          <w:lang w:val="en-US" w:eastAsia="zh-CN"/>
        </w:rPr>
        <w:t xml:space="preserve">3.</w:t>
      </w:r>
      <w:r>
        <w:rPr>
          <w:rFonts w:hint="eastAsia" w:ascii="宋体" w:hAnsi="宋体" w:eastAsia="宋体" w:cs="宋体"/>
          <w:bCs/>
          <w:color w:val="auto"/>
          <w:sz w:val="28"/>
          <w:szCs w:val="28"/>
          <w:highlight w:val="none"/>
        </w:rPr>
        <w:t xml:space="preserve">付款方式：</w:t>
      </w:r>
      <w:r/>
    </w:p>
    <w:p>
      <w:pPr>
        <w:ind w:firstLine="562"/>
        <w:keepLines w:val="0"/>
        <w:keepNext w:val="0"/>
        <w:pageBreakBefore w:val="0"/>
        <w:spacing w:line="50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对于满足合同约定支付条件的，自收到发票后10个工作日内将资金支付到合同约定的供应商账户或成交方数字人民币账户。</w:t>
      </w:r>
      <w:r/>
    </w:p>
    <w:p>
      <w:pPr>
        <w:ind w:firstLine="562"/>
        <w:keepLines w:val="0"/>
        <w:keepNext w:val="0"/>
        <w:pageBreakBefore w:val="0"/>
        <w:spacing w:line="50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预付款：合同签订后支付签约合同价的40%作为预付款；付款前供应商应向采购人提供同等金额的预付款保函(保函内容及格式须符合采购人要求)；</w:t>
      </w:r>
      <w:r/>
    </w:p>
    <w:p>
      <w:pPr>
        <w:ind w:firstLine="562"/>
        <w:keepLines w:val="0"/>
        <w:keepNext w:val="0"/>
        <w:pageBreakBefore w:val="0"/>
        <w:spacing w:line="50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进度款：项目完成所有外业调查工作并收到供应商发票后10个工作日内，支付合同总价的30%；项目通过验收后并收到供应商发票10个工作日内，一次性支付剩余合同款。</w:t>
      </w:r>
      <w:r/>
    </w:p>
    <w:p>
      <w:pPr>
        <w:ind w:firstLine="562"/>
        <w:keepLines w:val="0"/>
        <w:keepNext w:val="0"/>
        <w:pageBreakBefore w:val="0"/>
        <w:spacing w:line="500" w:lineRule="exact"/>
        <w:widowControl w:val="off"/>
        <w:rPr>
          <w:rFonts w:hint="eastAsia" w:ascii="宋体" w:hAnsi="宋体" w:eastAsia="宋体" w:cs="宋体"/>
          <w:bCs/>
          <w:color w:val="auto"/>
          <w:sz w:val="28"/>
          <w:szCs w:val="28"/>
          <w:highlight w:val="none"/>
          <w:lang w:eastAsia="zh-CN"/>
        </w:rPr>
      </w:pPr>
      <w:r>
        <w:rPr>
          <w:rFonts w:hint="eastAsia" w:ascii="宋体" w:hAnsi="宋体" w:eastAsia="宋体" w:cs="宋体"/>
          <w:bCs/>
          <w:color w:val="auto"/>
          <w:sz w:val="28"/>
          <w:szCs w:val="28"/>
          <w:highlight w:val="none"/>
        </w:rPr>
        <w:t xml:space="preserve">注：</w:t>
      </w:r>
      <w:r>
        <w:rPr>
          <w:rFonts w:hint="eastAsia" w:ascii="宋体" w:hAnsi="宋体" w:eastAsia="宋体" w:cs="宋体"/>
          <w:bCs/>
          <w:color w:val="auto"/>
          <w:sz w:val="28"/>
          <w:szCs w:val="28"/>
          <w:highlight w:val="none"/>
          <w:lang w:val="en-US" w:eastAsia="zh-CN"/>
        </w:rPr>
        <w:t xml:space="preserve">1.</w:t>
      </w:r>
      <w:r>
        <w:rPr>
          <w:rFonts w:hint="eastAsia" w:ascii="宋体" w:hAnsi="宋体" w:eastAsia="宋体" w:cs="宋体"/>
          <w:bCs/>
          <w:color w:val="auto"/>
          <w:sz w:val="28"/>
          <w:szCs w:val="28"/>
          <w:highlight w:val="none"/>
        </w:rPr>
        <w:t xml:space="preserve">在签订合同时，供应商明确表示无需预付款或者主动要求降低预付款比例的额度，采购人可不适用前述预付款规定</w:t>
      </w:r>
      <w:r>
        <w:rPr>
          <w:rFonts w:hint="eastAsia" w:ascii="宋体" w:hAnsi="宋体" w:eastAsia="宋体" w:cs="宋体"/>
          <w:bCs/>
          <w:color w:val="auto"/>
          <w:sz w:val="28"/>
          <w:szCs w:val="28"/>
          <w:highlight w:val="none"/>
          <w:lang w:eastAsia="zh-CN"/>
        </w:rPr>
        <w:t xml:space="preserve">；</w:t>
      </w:r>
      <w:r/>
    </w:p>
    <w:p>
      <w:pPr>
        <w:ind w:firstLine="562"/>
        <w:keepLines w:val="0"/>
        <w:keepNext w:val="0"/>
        <w:pageBreakBefore w:val="0"/>
        <w:spacing w:line="50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lang w:eastAsia="zh-CN"/>
        </w:rPr>
        <w:t xml:space="preserve">2.每次付款前供应商应当提供合法有效的发票，经采购人审核无误后的10个工作日内一次性付清（无息），否则采购人有权拒绝付款，且不承担延期付款的责任。</w:t>
      </w:r>
      <w:r/>
    </w:p>
    <w:p>
      <w:pPr>
        <w:ind w:firstLine="562"/>
        <w:keepLines w:val="0"/>
        <w:keepNext w:val="0"/>
        <w:pageBreakBefore w:val="0"/>
        <w:spacing w:line="50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lang w:val="en-US" w:eastAsia="zh-CN"/>
        </w:rPr>
        <w:t xml:space="preserve">3.</w:t>
      </w:r>
      <w:r>
        <w:rPr>
          <w:rFonts w:hint="eastAsia" w:ascii="宋体" w:hAnsi="宋体" w:eastAsia="宋体" w:cs="宋体"/>
          <w:bCs/>
          <w:color w:val="auto"/>
          <w:sz w:val="28"/>
          <w:szCs w:val="28"/>
          <w:highlight w:val="none"/>
        </w:rPr>
        <w:t xml:space="preserve">质量标准：合格。</w:t>
      </w:r>
      <w:r/>
    </w:p>
    <w:p>
      <w:pPr>
        <w:ind w:firstLine="562"/>
        <w:keepLines w:val="0"/>
        <w:keepNext w:val="0"/>
        <w:pageBreakBefore w:val="0"/>
        <w:spacing w:line="500" w:lineRule="exact"/>
        <w:widowControl w:val="off"/>
        <w:rPr>
          <w:rFonts w:hint="eastAsia" w:ascii="宋体" w:hAnsi="宋体" w:eastAsia="宋体" w:cs="宋体"/>
          <w:b/>
          <w:color w:val="auto"/>
          <w:sz w:val="28"/>
          <w:szCs w:val="28"/>
          <w:highlight w:val="none"/>
        </w:rPr>
        <w:outlineLvl w:val="2"/>
      </w:pPr>
      <w:r>
        <w:rPr>
          <w:rFonts w:hint="eastAsia" w:ascii="宋体" w:hAnsi="宋体" w:cs="宋体"/>
          <w:b/>
          <w:color w:val="auto"/>
          <w:sz w:val="28"/>
          <w:szCs w:val="28"/>
          <w:highlight w:val="none"/>
          <w:lang w:val="en-US" w:eastAsia="zh-CN"/>
        </w:rPr>
        <w:t xml:space="preserve">六</w:t>
      </w:r>
      <w:r>
        <w:rPr>
          <w:rFonts w:hint="eastAsia" w:ascii="宋体" w:hAnsi="宋体" w:eastAsia="宋体" w:cs="宋体"/>
          <w:b/>
          <w:color w:val="auto"/>
          <w:sz w:val="28"/>
          <w:szCs w:val="28"/>
          <w:highlight w:val="none"/>
        </w:rPr>
        <w:t xml:space="preserve">、履约验收</w:t>
      </w:r>
      <w:r/>
    </w:p>
    <w:p>
      <w:pPr>
        <w:ind w:firstLine="562"/>
        <w:keepLines w:val="0"/>
        <w:keepNext w:val="0"/>
        <w:pageBreakBefore w:val="0"/>
        <w:spacing w:line="50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1.成交单位按合同约定完成服务，在服务完成后向采购人提出验收申请，采购单位接到申请后原则上在7日内按照要求组织验收。</w:t>
      </w:r>
      <w:r/>
    </w:p>
    <w:p>
      <w:pPr>
        <w:ind w:firstLine="562"/>
        <w:keepLines w:val="0"/>
        <w:keepNext w:val="0"/>
        <w:pageBreakBefore w:val="0"/>
        <w:spacing w:line="500" w:lineRule="exact"/>
        <w:widowControl w:val="off"/>
        <w:rPr>
          <w:rFonts w:hint="eastAsia" w:ascii="宋体" w:hAnsi="宋体" w:eastAsia="宋体" w:cs="宋体"/>
          <w:bCs/>
          <w:color w:val="auto"/>
          <w:sz w:val="28"/>
          <w:szCs w:val="28"/>
          <w:highlight w:val="none"/>
          <w:lang w:eastAsia="zh-CN"/>
        </w:rPr>
      </w:pPr>
      <w:r>
        <w:rPr>
          <w:rFonts w:hint="eastAsia" w:ascii="宋体" w:hAnsi="宋体" w:eastAsia="宋体" w:cs="宋体"/>
          <w:bCs/>
          <w:color w:val="auto"/>
          <w:sz w:val="28"/>
          <w:szCs w:val="28"/>
          <w:highlight w:val="none"/>
        </w:rPr>
        <w:t xml:space="preserve">2</w:t>
      </w:r>
      <w:r>
        <w:rPr>
          <w:rFonts w:hint="eastAsia" w:ascii="宋体" w:hAnsi="宋体" w:eastAsia="宋体" w:cs="宋体"/>
          <w:bCs/>
          <w:color w:val="auto"/>
          <w:sz w:val="28"/>
          <w:szCs w:val="28"/>
          <w:highlight w:val="none"/>
          <w:lang w:val="en-US" w:eastAsia="zh-CN"/>
        </w:rPr>
        <w:t xml:space="preserve">.</w:t>
      </w:r>
      <w:r>
        <w:rPr>
          <w:rFonts w:hint="eastAsia" w:ascii="宋体" w:hAnsi="宋体" w:eastAsia="宋体" w:cs="宋体"/>
          <w:bCs/>
          <w:color w:val="auto"/>
          <w:sz w:val="28"/>
          <w:szCs w:val="28"/>
          <w:highlight w:val="none"/>
        </w:rPr>
        <w:t xml:space="preserve">验收方法及标准：本项目验收工作由采购人根据项目合同书、响应文件，以采购人比照验核的方式进行，主要验收项目是否完整、规范执行，评价项目实施规范性、质量管理措施健全有效性等。</w:t>
      </w:r>
      <w:r/>
    </w:p>
    <w:p>
      <w:pPr>
        <w:jc w:val="center"/>
        <w:spacing w:line="480" w:lineRule="exact"/>
        <w:rPr>
          <w:rFonts w:hint="eastAsia" w:ascii="宋体" w:hAnsi="宋体" w:eastAsia="宋体" w:cs="宋体"/>
          <w:bCs/>
          <w:color w:val="auto"/>
          <w:sz w:val="44"/>
          <w:szCs w:val="28"/>
          <w:highlight w:val="none"/>
        </w:rPr>
        <w:outlineLvl w:val="0"/>
      </w:pPr>
      <w:r>
        <w:rPr>
          <w:rFonts w:hint="eastAsia" w:ascii="宋体" w:hAnsi="宋体" w:eastAsia="宋体" w:cs="宋体"/>
          <w:bCs/>
          <w:color w:val="auto"/>
          <w:sz w:val="28"/>
          <w:szCs w:val="28"/>
          <w:highlight w:val="none"/>
        </w:rPr>
        <w:br w:type="page" w:clear="all"/>
      </w:r>
      <w:bookmarkStart w:id="209" w:name="_Toc5"/>
      <w:r>
        <w:rPr>
          <w:rFonts w:hint="eastAsia" w:ascii="宋体" w:hAnsi="宋体" w:eastAsia="宋体" w:cs="宋体"/>
          <w:b/>
          <w:bCs/>
          <w:color w:val="auto"/>
          <w:sz w:val="44"/>
          <w:szCs w:val="44"/>
          <w:highlight w:val="none"/>
        </w:rPr>
        <w:t xml:space="preserve">第五章  评审方法与评审标准</w:t>
      </w:r>
      <w:bookmarkEnd w:id="209"/>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ind w:firstLine="562"/>
        <w:jc w:val="left"/>
        <w:spacing w:line="500" w:lineRule="exact"/>
        <w:rPr>
          <w:rFonts w:hint="eastAsia" w:ascii="宋体" w:hAnsi="宋体" w:eastAsia="宋体" w:cs="宋体"/>
          <w:color w:val="auto"/>
          <w:sz w:val="24"/>
          <w:highlight w:val="none"/>
        </w:rPr>
      </w:pPr>
      <w:r>
        <w:rPr>
          <w:rFonts w:hint="eastAsia" w:ascii="宋体" w:hAnsi="宋体" w:eastAsia="宋体" w:cs="宋体"/>
          <w:b/>
          <w:color w:val="auto"/>
          <w:sz w:val="28"/>
          <w:highlight w:val="none"/>
        </w:rPr>
        <w:t xml:space="preserve">一、资格审查。</w:t>
      </w:r>
      <w:r>
        <w:rPr>
          <w:rFonts w:hint="eastAsia" w:ascii="宋体" w:hAnsi="宋体" w:eastAsia="宋体" w:cs="宋体"/>
          <w:color w:val="auto"/>
          <w:sz w:val="24"/>
          <w:highlight w:val="none"/>
        </w:rPr>
        <w:t xml:space="preserve">资格审查人员按照下列指标对各供应商的资格进行审查，未通过审查的为无效标，不参与评审。</w:t>
      </w:r>
      <w:r/>
    </w:p>
    <w:tbl>
      <w:tblPr>
        <w:tblStyle w:val="735"/>
        <w:tblW w:w="887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3525"/>
        <w:gridCol w:w="5351"/>
      </w:tblGrid>
      <w:tr>
        <w:trPr>
          <w:jc w:val="center"/>
          <w:trHeight w:val="287"/>
        </w:trPr>
        <w:tc>
          <w:tcPr>
            <w:tcW w:w="3525"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资格审查因素</w:t>
            </w:r>
            <w:r/>
          </w:p>
        </w:tc>
        <w:tc>
          <w:tcPr>
            <w:tcW w:w="5351"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审查标准</w:t>
            </w:r>
            <w:r/>
          </w:p>
        </w:tc>
      </w:tr>
      <w:tr>
        <w:trPr>
          <w:jc w:val="center"/>
        </w:trPr>
        <w:tc>
          <w:tcPr>
            <w:tcW w:w="3525" w:type="dxa"/>
            <w:vAlign w:val="center"/>
            <w:textDirection w:val="lrTb"/>
            <w:noWrap w:val="false"/>
          </w:tcPr>
          <w:p>
            <w:pPr>
              <w:jc w:val="left"/>
              <w:rPr>
                <w:rFonts w:hint="eastAsia" w:ascii="宋体" w:hAnsi="宋体" w:eastAsia="宋体" w:cs="宋体"/>
                <w:color w:val="auto"/>
                <w:highlight w:val="none"/>
              </w:rPr>
            </w:pPr>
            <w:r>
              <w:rPr>
                <w:rFonts w:hint="eastAsia" w:ascii="宋体" w:hAnsi="宋体" w:eastAsia="宋体" w:cs="宋体"/>
                <w:color w:val="auto"/>
                <w:highlight w:val="none"/>
              </w:rPr>
              <w:t xml:space="preserve">响应声明及承诺函</w:t>
            </w:r>
            <w:r/>
          </w:p>
        </w:tc>
        <w:tc>
          <w:tcPr>
            <w:tcW w:w="5351" w:type="dxa"/>
            <w:vAlign w:val="center"/>
            <w:textDirection w:val="lrTb"/>
            <w:noWrap w:val="false"/>
          </w:tcPr>
          <w:p>
            <w:pPr>
              <w:jc w:val="left"/>
              <w:rPr>
                <w:rFonts w:hint="eastAsia" w:ascii="宋体" w:hAnsi="宋体" w:eastAsia="宋体" w:cs="宋体"/>
                <w:color w:val="auto"/>
                <w:highlight w:val="none"/>
              </w:rPr>
            </w:pPr>
            <w:r>
              <w:rPr>
                <w:rFonts w:hint="eastAsia" w:ascii="宋体" w:hAnsi="宋体" w:eastAsia="宋体" w:cs="宋体"/>
                <w:color w:val="auto"/>
                <w:highlight w:val="none"/>
              </w:rPr>
              <w:t xml:space="preserve">符合磋商文件要求</w:t>
            </w:r>
            <w:r/>
          </w:p>
        </w:tc>
      </w:tr>
      <w:tr>
        <w:trPr>
          <w:jc w:val="center"/>
        </w:trPr>
        <w:tc>
          <w:tcPr>
            <w:tcW w:w="3525" w:type="dxa"/>
            <w:vAlign w:val="center"/>
            <w:textDirection w:val="lrTb"/>
            <w:noWrap w:val="false"/>
          </w:tcPr>
          <w:p>
            <w:pPr>
              <w:jc w:val="left"/>
              <w:rPr>
                <w:rFonts w:hint="eastAsia" w:ascii="宋体" w:hAnsi="宋体" w:eastAsia="宋体" w:cs="宋体"/>
                <w:color w:val="auto"/>
                <w:highlight w:val="none"/>
              </w:rPr>
            </w:pPr>
            <w:r>
              <w:rPr>
                <w:rFonts w:hint="eastAsia" w:ascii="宋体" w:hAnsi="宋体" w:eastAsia="宋体" w:cs="宋体"/>
                <w:color w:val="auto"/>
                <w:highlight w:val="none"/>
              </w:rPr>
              <w:t xml:space="preserve">落实政府采购政策需满足的资格要求</w:t>
            </w:r>
            <w:r/>
          </w:p>
        </w:tc>
        <w:tc>
          <w:tcPr>
            <w:tcW w:w="5351" w:type="dxa"/>
            <w:vAlign w:val="center"/>
            <w:textDirection w:val="lrTb"/>
            <w:noWrap w:val="false"/>
          </w:tcPr>
          <w:p>
            <w:pPr>
              <w:jc w:val="left"/>
              <w:rPr>
                <w:rFonts w:hint="eastAsia" w:ascii="宋体" w:hAnsi="宋体" w:eastAsia="宋体" w:cs="宋体"/>
                <w:color w:val="auto"/>
                <w:highlight w:val="none"/>
              </w:rPr>
            </w:pPr>
            <w:r>
              <w:rPr>
                <w:rFonts w:hint="eastAsia" w:ascii="宋体" w:hAnsi="宋体" w:eastAsia="宋体" w:cs="宋体"/>
                <w:color w:val="auto"/>
                <w:highlight w:val="none"/>
              </w:rPr>
              <w:t xml:space="preserve">本项目属于专门面向中小企业采购的项目,供应商应为中小微企业、监狱企业、残疾人福利性单位（须提供《中小企业或残疾人福利性单位声明函》）。非中小型企业</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lang w:val="en-US" w:eastAsia="zh-CN"/>
              </w:rPr>
              <w:t xml:space="preserve">含</w:t>
            </w:r>
            <w:r>
              <w:rPr>
                <w:rFonts w:hint="eastAsia" w:ascii="宋体" w:hAnsi="宋体" w:eastAsia="宋体" w:cs="宋体"/>
                <w:color w:val="auto"/>
                <w:highlight w:val="none"/>
              </w:rPr>
              <w:t xml:space="preserve">监狱企业、残疾人福利性单位</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参与本项目投标，将作无效标处理。</w:t>
            </w:r>
            <w:r/>
          </w:p>
        </w:tc>
      </w:tr>
      <w:tr>
        <w:trPr>
          <w:jc w:val="center"/>
        </w:trPr>
        <w:tc>
          <w:tcPr>
            <w:tcW w:w="3525" w:type="dxa"/>
            <w:vAlign w:val="center"/>
            <w:textDirection w:val="lrTb"/>
            <w:noWrap w:val="false"/>
          </w:tcPr>
          <w:p>
            <w:pPr>
              <w:jc w:val="left"/>
              <w:rPr>
                <w:rFonts w:hint="eastAsia" w:ascii="宋体" w:hAnsi="宋体" w:eastAsia="宋体" w:cs="宋体"/>
                <w:color w:val="auto"/>
                <w:highlight w:val="none"/>
              </w:rPr>
            </w:pPr>
            <w:r>
              <w:rPr>
                <w:rFonts w:hint="eastAsia" w:ascii="宋体" w:hAnsi="宋体" w:eastAsia="宋体" w:cs="宋体"/>
                <w:color w:val="auto"/>
                <w:highlight w:val="none"/>
              </w:rPr>
              <w:t xml:space="preserve">信用信息</w:t>
            </w:r>
            <w:r/>
          </w:p>
        </w:tc>
        <w:tc>
          <w:tcPr>
            <w:tcW w:w="5351" w:type="dxa"/>
            <w:vAlign w:val="center"/>
            <w:textDirection w:val="lrTb"/>
            <w:noWrap w:val="false"/>
          </w:tcPr>
          <w:p>
            <w:pPr>
              <w:jc w:val="left"/>
              <w:rPr>
                <w:rFonts w:hint="eastAsia" w:ascii="宋体" w:hAnsi="宋体" w:eastAsia="宋体" w:cs="宋体"/>
                <w:color w:val="auto"/>
                <w:highlight w:val="none"/>
              </w:rPr>
            </w:pPr>
            <w:r>
              <w:rPr>
                <w:rFonts w:hint="eastAsia" w:ascii="宋体" w:hAnsi="宋体" w:eastAsia="宋体" w:cs="宋体"/>
                <w:color w:val="auto"/>
                <w:highlight w:val="none"/>
              </w:rPr>
              <w:t xml:space="preserve">符合磋商文件要求</w:t>
            </w:r>
            <w:r/>
          </w:p>
        </w:tc>
      </w:tr>
      <w:tr>
        <w:trPr>
          <w:jc w:val="center"/>
        </w:trPr>
        <w:tc>
          <w:tcPr>
            <w:tcW w:w="3525" w:type="dxa"/>
            <w:vAlign w:val="center"/>
            <w:textDirection w:val="lrTb"/>
            <w:noWrap w:val="false"/>
          </w:tcPr>
          <w:p>
            <w:pPr>
              <w:jc w:val="left"/>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联合体响应</w:t>
            </w:r>
            <w:r/>
          </w:p>
        </w:tc>
        <w:tc>
          <w:tcPr>
            <w:tcW w:w="5351" w:type="dxa"/>
            <w:vAlign w:val="center"/>
            <w:textDirection w:val="lrTb"/>
            <w:noWrap w:val="false"/>
          </w:tcPr>
          <w:p>
            <w:pPr>
              <w:jc w:val="left"/>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本项目不接受联合体响应</w:t>
            </w:r>
            <w:r/>
          </w:p>
        </w:tc>
      </w:tr>
    </w:tbl>
    <w:p>
      <w:pPr>
        <w:ind w:firstLine="561"/>
        <w:jc w:val="left"/>
        <w:spacing w:before="120" w:line="500" w:lineRule="exact"/>
        <w:rPr>
          <w:rFonts w:hint="eastAsia" w:ascii="宋体" w:hAnsi="宋体" w:eastAsia="宋体" w:cs="宋体"/>
          <w:color w:val="auto"/>
          <w:sz w:val="24"/>
          <w:highlight w:val="none"/>
        </w:rPr>
      </w:pPr>
      <w:r>
        <w:rPr>
          <w:rFonts w:hint="eastAsia" w:ascii="宋体" w:hAnsi="宋体" w:eastAsia="宋体" w:cs="宋体"/>
          <w:b/>
          <w:color w:val="auto"/>
          <w:sz w:val="28"/>
          <w:highlight w:val="none"/>
        </w:rPr>
        <w:t xml:space="preserve">二、符合性审查。</w:t>
      </w:r>
      <w:r>
        <w:rPr>
          <w:rFonts w:hint="eastAsia" w:ascii="宋体" w:hAnsi="宋体" w:eastAsia="宋体" w:cs="宋体"/>
          <w:color w:val="auto"/>
          <w:sz w:val="24"/>
          <w:highlight w:val="none"/>
        </w:rPr>
        <w:t xml:space="preserve">磋商小组首先按照下列指标对各供应商进行初步评审，未通过评审的为无效标，不再参与评审。</w:t>
      </w:r>
      <w:r/>
    </w:p>
    <w:tbl>
      <w:tblPr>
        <w:tblStyle w:val="735"/>
        <w:tblW w:w="889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3533"/>
        <w:gridCol w:w="5359"/>
      </w:tblGrid>
      <w:tr>
        <w:trPr>
          <w:jc w:val="center"/>
        </w:trPr>
        <w:tc>
          <w:tcPr>
            <w:tcW w:w="3533"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评审因素</w:t>
            </w:r>
            <w:r/>
          </w:p>
        </w:tc>
        <w:tc>
          <w:tcPr>
            <w:tcW w:w="5359"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评审标准</w:t>
            </w:r>
            <w:r/>
          </w:p>
        </w:tc>
      </w:tr>
      <w:tr>
        <w:trPr>
          <w:jc w:val="center"/>
        </w:trPr>
        <w:tc>
          <w:tcPr>
            <w:tcW w:w="3533" w:type="dxa"/>
            <w:vAlign w:val="center"/>
            <w:textDirection w:val="lrTb"/>
            <w:noWrap w:val="false"/>
          </w:tcPr>
          <w:p>
            <w:pPr>
              <w:jc w:val="left"/>
              <w:rPr>
                <w:rFonts w:hint="eastAsia" w:ascii="宋体" w:hAnsi="宋体" w:eastAsia="宋体" w:cs="宋体"/>
                <w:color w:val="auto"/>
                <w:highlight w:val="none"/>
              </w:rPr>
            </w:pPr>
            <w:r>
              <w:rPr>
                <w:rFonts w:hint="eastAsia" w:ascii="宋体" w:hAnsi="宋体" w:eastAsia="宋体" w:cs="宋体"/>
                <w:color w:val="auto"/>
                <w:highlight w:val="none"/>
              </w:rPr>
              <w:t xml:space="preserve">法定代表人身份证明或授权委托书</w:t>
            </w:r>
            <w:r/>
          </w:p>
        </w:tc>
        <w:tc>
          <w:tcPr>
            <w:tcW w:w="5359" w:type="dxa"/>
            <w:vAlign w:val="center"/>
            <w:textDirection w:val="lrTb"/>
            <w:noWrap w:val="false"/>
          </w:tcPr>
          <w:p>
            <w:pPr>
              <w:jc w:val="left"/>
              <w:rPr>
                <w:rFonts w:hint="eastAsia" w:ascii="宋体" w:hAnsi="宋体" w:eastAsia="宋体" w:cs="宋体"/>
                <w:color w:val="auto"/>
                <w:highlight w:val="none"/>
              </w:rPr>
            </w:pPr>
            <w:r>
              <w:rPr>
                <w:rFonts w:hint="eastAsia" w:ascii="宋体" w:hAnsi="宋体" w:eastAsia="宋体" w:cs="宋体"/>
                <w:color w:val="auto"/>
                <w:highlight w:val="none"/>
              </w:rPr>
              <w:t xml:space="preserve">符合磋商文件要求</w:t>
            </w:r>
            <w:r/>
          </w:p>
        </w:tc>
      </w:tr>
      <w:tr>
        <w:trPr>
          <w:jc w:val="center"/>
        </w:trPr>
        <w:tc>
          <w:tcPr>
            <w:tcW w:w="3533" w:type="dxa"/>
            <w:vAlign w:val="center"/>
            <w:textDirection w:val="lrTb"/>
            <w:noWrap w:val="false"/>
          </w:tcPr>
          <w:p>
            <w:pPr>
              <w:jc w:val="left"/>
              <w:rPr>
                <w:rFonts w:hint="eastAsia" w:ascii="宋体" w:hAnsi="宋体" w:eastAsia="宋体" w:cs="宋体"/>
                <w:color w:val="auto"/>
                <w:highlight w:val="none"/>
              </w:rPr>
            </w:pPr>
            <w:r>
              <w:rPr>
                <w:rFonts w:hint="eastAsia" w:ascii="宋体" w:hAnsi="宋体" w:eastAsia="宋体" w:cs="宋体"/>
                <w:color w:val="auto"/>
                <w:highlight w:val="none"/>
              </w:rPr>
              <w:t xml:space="preserve">报价一览表及报价</w:t>
            </w:r>
            <w:r/>
          </w:p>
        </w:tc>
        <w:tc>
          <w:tcPr>
            <w:tcW w:w="5359" w:type="dxa"/>
            <w:vAlign w:val="center"/>
            <w:textDirection w:val="lrTb"/>
            <w:noWrap w:val="false"/>
          </w:tcPr>
          <w:p>
            <w:pPr>
              <w:jc w:val="left"/>
              <w:rPr>
                <w:rFonts w:hint="eastAsia" w:ascii="宋体" w:hAnsi="宋体" w:eastAsia="宋体" w:cs="宋体"/>
                <w:color w:val="auto"/>
                <w:highlight w:val="none"/>
              </w:rPr>
            </w:pPr>
            <w:r>
              <w:rPr>
                <w:rFonts w:hint="eastAsia" w:ascii="宋体" w:hAnsi="宋体" w:eastAsia="宋体" w:cs="宋体"/>
                <w:color w:val="auto"/>
                <w:szCs w:val="22"/>
                <w:highlight w:val="none"/>
              </w:rPr>
              <w:t xml:space="preserve">符合磋商文件要求</w:t>
            </w:r>
            <w:r/>
          </w:p>
        </w:tc>
      </w:tr>
      <w:tr>
        <w:trPr>
          <w:jc w:val="center"/>
        </w:trPr>
        <w:tc>
          <w:tcPr>
            <w:tcW w:w="3533" w:type="dxa"/>
            <w:vAlign w:val="center"/>
            <w:textDirection w:val="lrTb"/>
            <w:noWrap w:val="false"/>
          </w:tcPr>
          <w:p>
            <w:pPr>
              <w:jc w:val="left"/>
              <w:rPr>
                <w:rFonts w:hint="eastAsia" w:ascii="宋体" w:hAnsi="宋体" w:eastAsia="宋体" w:cs="宋体"/>
                <w:color w:val="auto"/>
                <w:highlight w:val="none"/>
              </w:rPr>
            </w:pPr>
            <w:r>
              <w:rPr>
                <w:rFonts w:hint="eastAsia" w:ascii="宋体" w:hAnsi="宋体" w:eastAsia="宋体" w:cs="宋体"/>
                <w:color w:val="auto"/>
                <w:highlight w:val="none"/>
                <w:lang w:eastAsia="zh-CN"/>
              </w:rPr>
              <w:t xml:space="preserve">服务标准和要求</w:t>
            </w:r>
            <w:r/>
          </w:p>
        </w:tc>
        <w:tc>
          <w:tcPr>
            <w:tcW w:w="5359" w:type="dxa"/>
            <w:vAlign w:val="center"/>
            <w:textDirection w:val="lrTb"/>
            <w:noWrap w:val="false"/>
          </w:tcPr>
          <w:p>
            <w:pPr>
              <w:jc w:val="left"/>
              <w:rPr>
                <w:rFonts w:hint="eastAsia" w:ascii="宋体" w:hAnsi="宋体" w:eastAsia="宋体" w:cs="宋体"/>
                <w:color w:val="auto"/>
                <w:szCs w:val="22"/>
                <w:highlight w:val="none"/>
              </w:rPr>
            </w:pPr>
            <w:r>
              <w:rPr>
                <w:rFonts w:hint="eastAsia" w:ascii="宋体" w:hAnsi="宋体" w:eastAsia="宋体" w:cs="宋体"/>
                <w:color w:val="auto"/>
                <w:highlight w:val="none"/>
              </w:rPr>
              <w:t xml:space="preserve">符合磋商文件要求</w:t>
            </w:r>
            <w:r/>
          </w:p>
        </w:tc>
      </w:tr>
      <w:tr>
        <w:trPr>
          <w:jc w:val="center"/>
        </w:trPr>
        <w:tc>
          <w:tcPr>
            <w:tcW w:w="3533" w:type="dxa"/>
            <w:vAlign w:val="center"/>
            <w:textDirection w:val="lrTb"/>
            <w:noWrap w:val="false"/>
          </w:tcPr>
          <w:p>
            <w:pPr>
              <w:jc w:val="left"/>
              <w:rPr>
                <w:rFonts w:hint="eastAsia" w:ascii="宋体" w:hAnsi="宋体" w:eastAsia="宋体" w:cs="宋体"/>
                <w:color w:val="auto"/>
                <w:highlight w:val="none"/>
              </w:rPr>
            </w:pPr>
            <w:r>
              <w:rPr>
                <w:rFonts w:hint="eastAsia" w:ascii="宋体" w:hAnsi="宋体" w:eastAsia="宋体" w:cs="宋体"/>
                <w:color w:val="auto"/>
                <w:highlight w:val="none"/>
              </w:rPr>
              <w:t xml:space="preserve">其他</w:t>
            </w:r>
            <w:r/>
          </w:p>
        </w:tc>
        <w:tc>
          <w:tcPr>
            <w:tcW w:w="5359" w:type="dxa"/>
            <w:vAlign w:val="center"/>
            <w:textDirection w:val="lrTb"/>
            <w:noWrap w:val="false"/>
          </w:tcPr>
          <w:p>
            <w:pPr>
              <w:jc w:val="left"/>
              <w:rPr>
                <w:rFonts w:hint="eastAsia" w:ascii="宋体" w:hAnsi="宋体" w:eastAsia="宋体" w:cs="宋体"/>
                <w:color w:val="auto"/>
                <w:highlight w:val="none"/>
              </w:rPr>
            </w:pPr>
            <w:r>
              <w:rPr>
                <w:rFonts w:hint="eastAsia" w:ascii="宋体" w:hAnsi="宋体" w:eastAsia="宋体" w:cs="宋体"/>
                <w:color w:val="auto"/>
                <w:highlight w:val="none"/>
              </w:rPr>
              <w:t xml:space="preserve">符合磋商文件要求</w:t>
            </w:r>
            <w:r/>
          </w:p>
        </w:tc>
      </w:tr>
    </w:tbl>
    <w:p>
      <w:pPr>
        <w:ind w:firstLine="562"/>
        <w:spacing w:line="500" w:lineRule="exact"/>
        <w:rPr>
          <w:rFonts w:hint="eastAsia" w:ascii="宋体" w:hAnsi="宋体" w:eastAsia="宋体" w:cs="宋体"/>
          <w:b/>
          <w:color w:val="auto"/>
          <w:sz w:val="28"/>
          <w:highlight w:val="none"/>
        </w:rPr>
      </w:pPr>
      <w:r>
        <w:rPr>
          <w:rFonts w:hint="eastAsia" w:ascii="宋体" w:hAnsi="宋体" w:eastAsia="宋体" w:cs="宋体"/>
          <w:b/>
          <w:color w:val="auto"/>
          <w:sz w:val="28"/>
          <w:highlight w:val="none"/>
        </w:rPr>
        <w:t xml:space="preserve">三、评分办法—综合评分法</w:t>
      </w:r>
      <w:r/>
    </w:p>
    <w:p>
      <w:pPr>
        <w:ind w:firstLine="482"/>
        <w:jc w:val="left"/>
        <w:spacing w:line="500" w:lineRule="exact"/>
        <w:rPr>
          <w:rFonts w:hint="eastAsia" w:ascii="宋体" w:hAnsi="宋体" w:eastAsia="宋体" w:cs="宋体"/>
          <w:color w:val="auto"/>
          <w:sz w:val="24"/>
          <w:highlight w:val="none"/>
        </w:rPr>
      </w:pPr>
      <w:r>
        <w:rPr>
          <w:rFonts w:hint="eastAsia" w:ascii="宋体" w:hAnsi="宋体" w:eastAsia="宋体" w:cs="宋体"/>
          <w:b/>
          <w:color w:val="auto"/>
          <w:sz w:val="24"/>
          <w:highlight w:val="none"/>
        </w:rPr>
        <w:t xml:space="preserve">（一）评标办法：</w:t>
      </w:r>
      <w:r>
        <w:rPr>
          <w:rFonts w:hint="eastAsia" w:ascii="宋体" w:hAnsi="宋体" w:eastAsia="宋体" w:cs="宋体"/>
          <w:color w:val="auto"/>
          <w:sz w:val="24"/>
          <w:highlight w:val="none"/>
        </w:rPr>
        <w:t xml:space="preserve">本次评审采用综合评分法，磋商小组成员根据磋商文件规定进行独立评审，对需要共同认定的客观分存在争议的，应当按照少数服从多数的原则作出结论。持不同意见的磋商小组成员应当在评审报告上签署不同意见及理由，否则视为同意评审报告。评审过程中，不得去掉报价中的最高报价和最低报价。因落实政府采购政策进行价格调整的，以调整后的价格计算磋商基准价和最后</w:t>
      </w:r>
      <w:r>
        <w:rPr>
          <w:rFonts w:hint="eastAsia" w:ascii="宋体" w:hAnsi="宋体" w:eastAsia="宋体" w:cs="宋体"/>
          <w:color w:val="auto"/>
          <w:sz w:val="24"/>
          <w:highlight w:val="none"/>
          <w:lang w:eastAsia="zh-CN"/>
        </w:rPr>
        <w:t xml:space="preserve">磋商报价</w:t>
      </w:r>
      <w:r>
        <w:rPr>
          <w:rFonts w:hint="eastAsia" w:ascii="宋体" w:hAnsi="宋体" w:eastAsia="宋体" w:cs="宋体"/>
          <w:color w:val="auto"/>
          <w:sz w:val="24"/>
          <w:highlight w:val="none"/>
        </w:rPr>
        <w:t xml:space="preserve">。本次评审按得分高低顺序推荐成交候选人。得分相同的，按报价从低到高顺序排列；得分且报价相同的，按技术指标优劣顺序排列。</w:t>
      </w:r>
      <w:r/>
    </w:p>
    <w:p>
      <w:pPr>
        <w:ind w:firstLine="480"/>
        <w:jc w:val="left"/>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磋商小组根据评审后供应商排序推荐3名成交候选人。响应文件满足磋商文件全部实质性要求，且评审后排序第一的供应商为第一成交候选人，依次类推。</w:t>
      </w:r>
      <w:r/>
    </w:p>
    <w:p>
      <w:pPr>
        <w:ind w:firstLine="480"/>
        <w:jc w:val="left"/>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综合评分保留至小数点后两位。</w:t>
      </w:r>
      <w:r/>
    </w:p>
    <w:p>
      <w:pPr>
        <w:ind w:firstLine="482"/>
        <w:jc w:val="left"/>
        <w:spacing w:line="500" w:lineRule="exact"/>
        <w:rPr>
          <w:rFonts w:hint="eastAsia" w:ascii="宋体" w:hAnsi="宋体" w:eastAsia="宋体" w:cs="宋体"/>
          <w:color w:val="auto"/>
          <w:sz w:val="24"/>
          <w:highlight w:val="none"/>
        </w:rPr>
      </w:pPr>
      <w:r>
        <w:rPr>
          <w:rFonts w:hint="eastAsia" w:ascii="宋体" w:hAnsi="宋体" w:eastAsia="宋体" w:cs="宋体"/>
          <w:b/>
          <w:color w:val="auto"/>
          <w:sz w:val="24"/>
          <w:highlight w:val="none"/>
        </w:rPr>
        <w:t xml:space="preserve">（二）详细评审。</w:t>
      </w:r>
      <w:r>
        <w:rPr>
          <w:rFonts w:hint="eastAsia" w:ascii="宋体" w:hAnsi="宋体" w:eastAsia="宋体" w:cs="宋体"/>
          <w:color w:val="auto"/>
          <w:sz w:val="24"/>
          <w:highlight w:val="none"/>
        </w:rPr>
        <w:t xml:space="preserve">磋商小组按照竞争性磋商文件规定的评分标准，对各响应文件进行详细评审打分。磋商小组组长对各评审专家的打分情况进行复核无误后汇总。</w:t>
      </w:r>
      <w:r/>
    </w:p>
    <w:p>
      <w:pPr>
        <w:ind w:firstLine="480"/>
        <w:jc w:val="left"/>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磋商小组</w:t>
      </w:r>
      <w:r>
        <w:rPr>
          <w:rFonts w:hint="eastAsia" w:ascii="宋体" w:hAnsi="宋体" w:eastAsia="宋体" w:cs="宋体"/>
          <w:color w:val="auto"/>
          <w:sz w:val="24"/>
          <w:highlight w:val="none"/>
        </w:rPr>
        <w:t xml:space="preserve">必须严格按照</w:t>
      </w:r>
      <w:r>
        <w:rPr>
          <w:rFonts w:hint="eastAsia" w:ascii="宋体" w:hAnsi="宋体" w:eastAsia="宋体" w:cs="宋体"/>
          <w:color w:val="auto"/>
          <w:sz w:val="24"/>
          <w:highlight w:val="none"/>
          <w:lang w:val="en-US" w:eastAsia="zh-CN"/>
        </w:rPr>
        <w:t xml:space="preserve">磋商</w:t>
      </w:r>
      <w:r>
        <w:rPr>
          <w:rFonts w:hint="eastAsia" w:ascii="宋体" w:hAnsi="宋体" w:eastAsia="宋体" w:cs="宋体"/>
          <w:color w:val="auto"/>
          <w:sz w:val="24"/>
          <w:highlight w:val="none"/>
        </w:rPr>
        <w:t xml:space="preserve">文件规定的评标标准和方法进行评审，禁止使用未规定标准进行评审。</w:t>
      </w:r>
      <w:r/>
    </w:p>
    <w:p>
      <w:pPr>
        <w:ind w:firstLine="403"/>
        <w:spacing w:before="120"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w:t>
      </w:r>
      <w:r>
        <w:rPr>
          <w:rFonts w:hint="eastAsia" w:ascii="宋体" w:hAnsi="宋体" w:eastAsia="宋体" w:cs="宋体"/>
          <w:b/>
          <w:color w:val="auto"/>
          <w:sz w:val="24"/>
          <w:szCs w:val="24"/>
          <w:highlight w:val="none"/>
        </w:rPr>
        <w:t xml:space="preserve">评标结果。</w:t>
      </w:r>
      <w:r>
        <w:rPr>
          <w:rFonts w:hint="eastAsia" w:ascii="宋体" w:hAnsi="宋体" w:eastAsia="宋体" w:cs="宋体"/>
          <w:color w:val="auto"/>
          <w:sz w:val="24"/>
          <w:szCs w:val="24"/>
          <w:highlight w:val="none"/>
        </w:rPr>
        <w:t xml:space="preserve">磋商小组按照本办法规定推荐成交候选人，并形成评标报告。</w:t>
      </w:r>
      <w:r/>
    </w:p>
    <w:tbl>
      <w:tblPr>
        <w:tblStyle w:val="735"/>
        <w:tblW w:w="8969" w:type="dxa"/>
        <w:jc w:val="center"/>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autofit"/>
        <w:tblCellMar>
          <w:left w:w="0" w:type="dxa"/>
          <w:top w:w="0" w:type="dxa"/>
          <w:right w:w="0" w:type="dxa"/>
          <w:bottom w:w="0" w:type="dxa"/>
        </w:tblCellMar>
        <w:tblLook w:val="04A0" w:firstRow="1" w:lastRow="0" w:firstColumn="1" w:lastColumn="0" w:noHBand="0" w:noVBand="1"/>
      </w:tblPr>
      <w:tblGrid>
        <w:gridCol w:w="951"/>
        <w:gridCol w:w="1016"/>
        <w:gridCol w:w="923"/>
        <w:gridCol w:w="6079"/>
      </w:tblGrid>
      <w:tr>
        <w:trPr>
          <w:jc w:val="center"/>
          <w:trHeight w:val="0"/>
        </w:trPr>
        <w:tc>
          <w:tcPr>
            <w:gridSpan w:val="2"/>
            <w:tcBorders>
              <w:top w:val="single" w:color="000000" w:sz="6" w:space="0"/>
              <w:left w:val="single" w:color="000000" w:sz="6" w:space="0"/>
              <w:bottom w:val="single" w:color="000000" w:sz="6" w:space="0"/>
              <w:right w:val="single" w:color="000000" w:sz="6" w:space="0"/>
            </w:tcBorders>
            <w:tcW w:w="1967"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
                <w:bCs/>
                <w:color w:val="auto"/>
                <w:sz w:val="24"/>
                <w:szCs w:val="24"/>
                <w:highlight w:val="none"/>
              </w:rPr>
            </w:pPr>
            <w:r/>
            <w:bookmarkStart w:id="210" w:name="EBe0cfd1035ea44f689f97db50fccddc8b"/>
            <w:r>
              <w:rPr>
                <w:rFonts w:hint="eastAsia" w:ascii="宋体" w:hAnsi="宋体" w:eastAsia="宋体" w:cs="宋体"/>
                <w:b/>
                <w:bCs/>
                <w:color w:val="auto"/>
                <w:sz w:val="24"/>
                <w:szCs w:val="24"/>
                <w:highlight w:val="none"/>
              </w:rPr>
              <w:t xml:space="preserve">评审因素</w:t>
            </w:r>
            <w:r/>
          </w:p>
        </w:tc>
        <w:tc>
          <w:tcPr>
            <w:tcBorders>
              <w:top w:val="single" w:color="000000" w:sz="6" w:space="0"/>
              <w:left w:val="single" w:color="000000" w:sz="6" w:space="0"/>
              <w:bottom w:val="single" w:color="000000" w:sz="6" w:space="0"/>
              <w:right w:val="single" w:color="000000" w:sz="6" w:space="0"/>
            </w:tcBorders>
            <w:tcW w:w="923"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分数</w:t>
            </w:r>
            <w:r/>
          </w:p>
        </w:tc>
        <w:tc>
          <w:tcPr>
            <w:tcBorders>
              <w:top w:val="single" w:color="000000" w:sz="6" w:space="0"/>
              <w:left w:val="single" w:color="000000" w:sz="6" w:space="0"/>
              <w:bottom w:val="single" w:color="000000" w:sz="6" w:space="0"/>
              <w:right w:val="single" w:color="000000" w:sz="6" w:space="0"/>
            </w:tcBorders>
            <w:tcW w:w="6079"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评审标准</w:t>
            </w:r>
            <w:r/>
          </w:p>
        </w:tc>
      </w:tr>
      <w:tr>
        <w:trPr>
          <w:jc w:val="center"/>
          <w:trHeight w:val="0"/>
        </w:trPr>
        <w:tc>
          <w:tcPr>
            <w:tcBorders>
              <w:top w:val="single" w:color="000000" w:sz="6" w:space="0"/>
              <w:left w:val="single" w:color="000000" w:sz="6" w:space="0"/>
              <w:bottom w:val="single" w:color="000000" w:sz="6" w:space="0"/>
              <w:right w:val="single" w:color="000000" w:sz="6" w:space="0"/>
            </w:tcBorders>
            <w:tcW w:w="951"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报价分</w:t>
            </w:r>
            <w:r/>
          </w:p>
        </w:tc>
        <w:tc>
          <w:tcPr>
            <w:tcBorders>
              <w:top w:val="single" w:color="000000" w:sz="6" w:space="0"/>
              <w:left w:val="single" w:color="000000" w:sz="6" w:space="0"/>
              <w:bottom w:val="single" w:color="000000" w:sz="6" w:space="0"/>
              <w:right w:val="single" w:color="000000" w:sz="6" w:space="0"/>
            </w:tcBorders>
            <w:tcW w:w="1016"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磋商报价</w:t>
            </w:r>
            <w:r/>
          </w:p>
        </w:tc>
        <w:tc>
          <w:tcPr>
            <w:tcBorders>
              <w:top w:val="single" w:color="000000" w:sz="6" w:space="0"/>
              <w:left w:val="single" w:color="000000" w:sz="6" w:space="0"/>
              <w:bottom w:val="single" w:color="000000" w:sz="6" w:space="0"/>
              <w:right w:val="single" w:color="000000" w:sz="6" w:space="0"/>
            </w:tcBorders>
            <w:tcW w:w="923"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rPr>
              <w:t xml:space="preserve">.00</w:t>
            </w:r>
            <w:r/>
          </w:p>
        </w:tc>
        <w:tc>
          <w:tcPr>
            <w:tcBorders>
              <w:top w:val="single" w:color="000000" w:sz="6" w:space="0"/>
              <w:left w:val="single" w:color="000000" w:sz="6" w:space="0"/>
              <w:bottom w:val="single" w:color="000000" w:sz="6" w:space="0"/>
              <w:right w:val="single" w:color="000000" w:sz="6" w:space="0"/>
            </w:tcBorders>
            <w:tcW w:w="6079" w:type="dxa"/>
            <w:vAlign w:val="center"/>
            <w:textDirection w:val="lrTb"/>
            <w:noWrap w:val="false"/>
          </w:tcPr>
          <w:p>
            <w:pPr>
              <w:ind w:firstLine="480"/>
              <w:keepLines w:val="0"/>
              <w:keepNext w:val="0"/>
              <w:pageBreakBefore w:val="0"/>
              <w:spacing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tl w:val="0"/>
                <w:lang w:val="en-US" w:eastAsia="zh-CN" w:bidi="ar-SA"/>
              </w:rPr>
              <w:t xml:space="preserve">以满足磋商文件要求且最后报价最低的供应商的价格为磋商基准价，其价格分为满分。其他供应商报价得分＝（磋商基准价/供应商最后报价）*10。</w:t>
            </w:r>
            <w:r/>
          </w:p>
        </w:tc>
      </w:tr>
      <w:tr>
        <w:trPr>
          <w:jc w:val="center"/>
          <w:trHeight w:val="0"/>
        </w:trPr>
        <w:tc>
          <w:tcPr>
            <w:tcBorders>
              <w:top w:val="single" w:color="000000" w:sz="6" w:space="0"/>
              <w:left w:val="single" w:color="000000" w:sz="6" w:space="0"/>
              <w:right w:val="single" w:color="000000" w:sz="6" w:space="0"/>
            </w:tcBorders>
            <w:tcW w:w="951" w:type="dxa"/>
            <w:vAlign w:val="center"/>
            <w:vMerge w:val="restart"/>
            <w:textDirection w:val="lrTb"/>
            <w:noWrap w:val="false"/>
          </w:tcPr>
          <w:p>
            <w:pPr>
              <w:jc w:val="left"/>
              <w:keepLines w:val="0"/>
              <w:keepNext w:val="0"/>
              <w:pageBreakBefore w:val="0"/>
              <w:spacing w:line="36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技术评审</w:t>
            </w:r>
            <w:r/>
          </w:p>
        </w:tc>
        <w:tc>
          <w:tcPr>
            <w:tcBorders>
              <w:top w:val="single" w:color="000000" w:sz="6" w:space="0"/>
              <w:left w:val="single" w:color="000000" w:sz="6" w:space="0"/>
              <w:bottom w:val="single" w:color="000000" w:sz="6" w:space="0"/>
              <w:right w:val="single" w:color="000000" w:sz="6" w:space="0"/>
            </w:tcBorders>
            <w:tcW w:w="1016" w:type="dxa"/>
            <w:vAlign w:val="center"/>
            <w:textDirection w:val="lrTb"/>
            <w:noWrap w:val="false"/>
          </w:tcPr>
          <w:p>
            <w:pPr>
              <w:jc w:val="left"/>
              <w:keepLines w:val="0"/>
              <w:keepNext w:val="0"/>
              <w:pageBreakBefore w:val="0"/>
              <w:spacing w:line="36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项目理解</w:t>
            </w:r>
            <w:r>
              <w:rPr>
                <w:rFonts w:hint="eastAsia" w:ascii="宋体" w:hAnsi="宋体" w:eastAsia="宋体" w:cs="宋体"/>
                <w:color w:val="auto"/>
                <w:sz w:val="24"/>
                <w:szCs w:val="24"/>
                <w:highlight w:val="none"/>
                <w:lang w:val="en-US" w:eastAsia="zh-CN"/>
              </w:rPr>
              <w:t xml:space="preserve">方案</w:t>
            </w:r>
            <w:r/>
          </w:p>
        </w:tc>
        <w:tc>
          <w:tcPr>
            <w:tcBorders>
              <w:top w:val="single" w:color="000000" w:sz="6" w:space="0"/>
              <w:left w:val="single" w:color="000000" w:sz="6" w:space="0"/>
              <w:bottom w:val="single" w:color="000000" w:sz="6" w:space="0"/>
              <w:right w:val="single" w:color="000000" w:sz="6" w:space="0"/>
            </w:tcBorders>
            <w:tcW w:w="923"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.00</w:t>
            </w:r>
            <w:r/>
          </w:p>
        </w:tc>
        <w:tc>
          <w:tcPr>
            <w:tcBorders>
              <w:top w:val="single" w:color="000000" w:sz="6" w:space="0"/>
              <w:left w:val="single" w:color="000000" w:sz="6" w:space="0"/>
              <w:bottom w:val="single" w:color="000000" w:sz="6" w:space="0"/>
              <w:right w:val="single" w:color="000000" w:sz="6" w:space="0"/>
            </w:tcBorders>
            <w:tcW w:w="6079" w:type="dxa"/>
            <w:vAlign w:val="center"/>
            <w:textDirection w:val="lrTb"/>
            <w:noWrap w:val="false"/>
          </w:tcPr>
          <w:p>
            <w:pPr>
              <w:ind w:firstLine="420"/>
              <w:jc w:val="left"/>
              <w:keepLines w:val="0"/>
              <w:keepNext w:val="0"/>
              <w:pageBreakBefore w:val="0"/>
              <w:spacing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项目理解方案中工作范围全面完整，具体工作目标和内容清晰明确；工作原则阐述透彻，工作程序详细具体、计划性强，阐述清晰且完全符合相关导则要求；报告章节框架安排科学合理、完全符合导则要求，单元划分精准合理、贴合导则规范，得15分。</w:t>
            </w:r>
            <w:r/>
          </w:p>
          <w:p>
            <w:pPr>
              <w:ind w:firstLine="420"/>
              <w:jc w:val="left"/>
              <w:keepLines w:val="0"/>
              <w:keepNext w:val="0"/>
              <w:pageBreakBefore w:val="0"/>
              <w:spacing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工作范围全面，具体工作目标和内容明确；工作原则阐述清楚，工作程序详细、计划性较强，阐述清楚且符合相关导则要求；报告章节框架安排合理、符合导则要求，单元划分合理、基本贴合导则规范，得12分。</w:t>
            </w:r>
            <w:r/>
          </w:p>
          <w:p>
            <w:pPr>
              <w:ind w:firstLine="420"/>
              <w:jc w:val="left"/>
              <w:keepLines w:val="0"/>
              <w:keepNext w:val="0"/>
              <w:pageBreakBefore w:val="0"/>
              <w:spacing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工作范围基本覆盖，具体工作目标和内容基本明确；工作原则阐述清楚，工作程序阐述清晰，基本符合相关导则要求；报告章节框架安排基本合理、比较符合导则要求，单元划分比较细致、基本合理，得9分。</w:t>
            </w:r>
            <w:r/>
          </w:p>
          <w:p>
            <w:pPr>
              <w:ind w:firstLine="420"/>
              <w:jc w:val="left"/>
              <w:keepLines w:val="0"/>
              <w:keepNext w:val="0"/>
              <w:pageBreakBefore w:val="0"/>
              <w:spacing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工作范围基本覆盖，具体工作目标和内容不够明确；工作原则阐述不够清晰，工作程序阐述基本清楚，部分符合相关导则要求；报告章节框架安排不够合理，单元划分基本合理但不够细致，得6分。</w:t>
            </w:r>
            <w:r/>
          </w:p>
          <w:p>
            <w:pPr>
              <w:ind w:firstLine="420"/>
              <w:jc w:val="left"/>
              <w:keepLines w:val="0"/>
              <w:keepNext w:val="0"/>
              <w:pageBreakBefore w:val="0"/>
              <w:spacing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工作范围未覆盖，具体工作目标和内容模糊不清；工作原则阐述混乱，工作程序阐述不清楚，不符合相关导则要求；报告章节框架安排混乱，单元划分不合理，得3分。</w:t>
            </w:r>
            <w:r/>
          </w:p>
          <w:p>
            <w:pPr>
              <w:ind w:firstLine="420"/>
              <w:jc w:val="left"/>
              <w:keepLines w:val="0"/>
              <w:keepNext w:val="0"/>
              <w:pageBreakBefore w:val="0"/>
              <w:spacing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未提供不得分。</w:t>
            </w:r>
            <w:r/>
          </w:p>
        </w:tc>
      </w:tr>
      <w:tr>
        <w:trPr>
          <w:jc w:val="center"/>
          <w:trHeight w:val="0"/>
        </w:trPr>
        <w:tc>
          <w:tcPr>
            <w:tcBorders>
              <w:left w:val="single" w:color="000000" w:sz="6" w:space="0"/>
              <w:right w:val="single" w:color="000000" w:sz="6" w:space="0"/>
            </w:tcBorders>
            <w:tcW w:w="951" w:type="dxa"/>
            <w:vAlign w:val="center"/>
            <w:vMerge w:val="continue"/>
            <w:textDirection w:val="lrTb"/>
            <w:noWrap w:val="false"/>
          </w:tcPr>
          <w:p>
            <w:pPr>
              <w:jc w:val="left"/>
              <w:keepLines w:val="0"/>
              <w:keepNext w:val="0"/>
              <w:pageBreakBefore w:val="0"/>
              <w:spacing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016" w:type="dxa"/>
            <w:vAlign w:val="center"/>
            <w:textDirection w:val="lrTb"/>
            <w:noWrap w:val="false"/>
          </w:tcPr>
          <w:p>
            <w:pPr>
              <w:jc w:val="left"/>
              <w:keepLines w:val="0"/>
              <w:keepNext w:val="0"/>
              <w:pageBreakBefore w:val="0"/>
              <w:spacing w:line="36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项目调查</w:t>
            </w:r>
            <w:r>
              <w:rPr>
                <w:rFonts w:hint="eastAsia" w:ascii="宋体" w:hAnsi="宋体" w:eastAsia="宋体" w:cs="宋体"/>
                <w:color w:val="auto"/>
                <w:sz w:val="24"/>
                <w:szCs w:val="24"/>
                <w:highlight w:val="none"/>
                <w:lang w:val="en-US" w:eastAsia="zh-CN"/>
              </w:rPr>
              <w:t xml:space="preserve">方案</w:t>
            </w:r>
            <w:r/>
          </w:p>
        </w:tc>
        <w:tc>
          <w:tcPr>
            <w:tcBorders>
              <w:top w:val="single" w:color="000000" w:sz="6" w:space="0"/>
              <w:left w:val="single" w:color="000000" w:sz="6" w:space="0"/>
              <w:bottom w:val="single" w:color="000000" w:sz="6" w:space="0"/>
              <w:right w:val="single" w:color="000000" w:sz="6" w:space="0"/>
            </w:tcBorders>
            <w:tcW w:w="923" w:type="dxa"/>
            <w:vAlign w:val="center"/>
            <w:textDirection w:val="lrTb"/>
            <w:noWrap w:val="false"/>
          </w:tcPr>
          <w:p>
            <w:pPr>
              <w:jc w:val="center"/>
              <w:keepLines w:val="0"/>
              <w:keepNext w:val="0"/>
              <w:pageBreakBefore w:val="0"/>
              <w:spacing w:line="360" w:lineRule="exact"/>
              <w:widowControl w:val="off"/>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lang w:val="en-US" w:eastAsia="zh-CN"/>
              </w:rPr>
              <w:t xml:space="preserve">.00</w:t>
            </w:r>
            <w:r/>
          </w:p>
        </w:tc>
        <w:tc>
          <w:tcPr>
            <w:tcBorders>
              <w:top w:val="single" w:color="000000" w:sz="6" w:space="0"/>
              <w:left w:val="single" w:color="000000" w:sz="6" w:space="0"/>
              <w:bottom w:val="single" w:color="000000" w:sz="6" w:space="0"/>
              <w:right w:val="single" w:color="000000" w:sz="6" w:space="0"/>
            </w:tcBorders>
            <w:tcW w:w="6079" w:type="dxa"/>
            <w:vAlign w:val="center"/>
            <w:textDirection w:val="lrTb"/>
            <w:noWrap w:val="false"/>
          </w:tcPr>
          <w:p>
            <w:pPr>
              <w:ind w:firstLine="510"/>
              <w:jc w:val="left"/>
              <w:keepLines w:val="0"/>
              <w:keepNext w:val="0"/>
              <w:pageBreakBefore w:val="0"/>
              <w:spacing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对项目的工作内容理解充分，且符合区域实际的，得</w:t>
            </w:r>
            <w:r>
              <w:rPr>
                <w:rFonts w:hint="eastAsia" w:ascii="宋体" w:hAnsi="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rPr>
              <w:t xml:space="preserve">分；</w:t>
            </w:r>
            <w:r/>
          </w:p>
          <w:p>
            <w:pPr>
              <w:ind w:firstLine="510"/>
              <w:jc w:val="left"/>
              <w:keepLines w:val="0"/>
              <w:keepNext w:val="0"/>
              <w:pageBreakBefore w:val="0"/>
              <w:spacing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工作内容目标较为合理可行，有一定的针对性的，得</w:t>
            </w: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分；</w:t>
            </w:r>
            <w:r/>
          </w:p>
          <w:p>
            <w:pPr>
              <w:ind w:firstLine="510"/>
              <w:jc w:val="left"/>
              <w:keepLines w:val="0"/>
              <w:keepNext w:val="0"/>
              <w:pageBreakBefore w:val="0"/>
              <w:spacing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有基本的工作内容的，得</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分；</w:t>
            </w:r>
            <w:r/>
          </w:p>
          <w:p>
            <w:pPr>
              <w:ind w:firstLine="510"/>
              <w:jc w:val="left"/>
              <w:keepLines w:val="0"/>
              <w:keepNext w:val="0"/>
              <w:pageBreakBefore w:val="0"/>
              <w:spacing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工作内容不完全满足采购需求的，得</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分；</w:t>
            </w:r>
            <w:r/>
          </w:p>
          <w:p>
            <w:pPr>
              <w:ind w:firstLine="510"/>
              <w:jc w:val="left"/>
              <w:keepLines w:val="0"/>
              <w:keepNext w:val="0"/>
              <w:pageBreakBefore w:val="0"/>
              <w:spacing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未提供不得分。</w:t>
            </w:r>
            <w:r/>
          </w:p>
        </w:tc>
      </w:tr>
      <w:tr>
        <w:trPr>
          <w:jc w:val="center"/>
          <w:trHeight w:val="0"/>
        </w:trPr>
        <w:tc>
          <w:tcPr>
            <w:tcBorders>
              <w:left w:val="single" w:color="000000" w:sz="6" w:space="0"/>
              <w:right w:val="single" w:color="000000" w:sz="6" w:space="0"/>
            </w:tcBorders>
            <w:tcW w:w="951" w:type="dxa"/>
            <w:vAlign w:val="center"/>
            <w:vMerge w:val="continue"/>
            <w:textDirection w:val="lrTb"/>
            <w:noWrap w:val="false"/>
          </w:tcPr>
          <w:p>
            <w:pPr>
              <w:jc w:val="left"/>
              <w:keepLines w:val="0"/>
              <w:keepNext w:val="0"/>
              <w:pageBreakBefore w:val="0"/>
              <w:spacing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016" w:type="dxa"/>
            <w:vAlign w:val="center"/>
            <w:textDirection w:val="lrTb"/>
            <w:noWrap w:val="false"/>
          </w:tcPr>
          <w:p>
            <w:pPr>
              <w:jc w:val="left"/>
              <w:keepLines w:val="0"/>
              <w:keepNext w:val="0"/>
              <w:pageBreakBefore w:val="0"/>
              <w:spacing w:line="36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实施方案</w:t>
            </w:r>
            <w:r/>
          </w:p>
        </w:tc>
        <w:tc>
          <w:tcPr>
            <w:tcBorders>
              <w:top w:val="single" w:color="000000" w:sz="6" w:space="0"/>
              <w:left w:val="single" w:color="000000" w:sz="6" w:space="0"/>
              <w:bottom w:val="single" w:color="000000" w:sz="6" w:space="0"/>
              <w:right w:val="single" w:color="000000" w:sz="6" w:space="0"/>
            </w:tcBorders>
            <w:tcW w:w="923" w:type="dxa"/>
            <w:vAlign w:val="center"/>
            <w:textDirection w:val="lrTb"/>
            <w:noWrap w:val="false"/>
          </w:tcPr>
          <w:p>
            <w:pPr>
              <w:jc w:val="center"/>
              <w:keepLines w:val="0"/>
              <w:keepNext w:val="0"/>
              <w:pageBreakBefore w:val="0"/>
              <w:spacing w:line="360" w:lineRule="exact"/>
              <w:widowControl w:val="off"/>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lang w:val="en-US" w:eastAsia="zh-CN"/>
              </w:rPr>
              <w:t xml:space="preserve">.00</w:t>
            </w:r>
            <w:r/>
          </w:p>
        </w:tc>
        <w:tc>
          <w:tcPr>
            <w:tcBorders>
              <w:top w:val="single" w:color="000000" w:sz="6" w:space="0"/>
              <w:left w:val="single" w:color="000000" w:sz="6" w:space="0"/>
              <w:bottom w:val="single" w:color="000000" w:sz="6" w:space="0"/>
              <w:right w:val="single" w:color="000000" w:sz="6" w:space="0"/>
            </w:tcBorders>
            <w:tcW w:w="6079" w:type="dxa"/>
            <w:vAlign w:val="center"/>
            <w:textDirection w:val="lrTb"/>
            <w:noWrap w:val="false"/>
          </w:tcPr>
          <w:p>
            <w:pPr>
              <w:ind w:firstLine="510"/>
              <w:jc w:val="left"/>
              <w:keepLines w:val="0"/>
              <w:keepNext w:val="0"/>
              <w:pageBreakBefore w:val="0"/>
              <w:spacing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对生物多样性本底调查重难点的理解程度高，报告编制大纲的合理性、准确性和可操作性强，完全贴合项目实际需求，得</w:t>
            </w:r>
            <w:r>
              <w:rPr>
                <w:rFonts w:hint="eastAsia" w:ascii="宋体" w:hAnsi="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rPr>
              <w:t xml:space="preserve">分；</w:t>
            </w:r>
            <w:r/>
          </w:p>
          <w:p>
            <w:pPr>
              <w:ind w:firstLine="510"/>
              <w:jc w:val="left"/>
              <w:keepLines w:val="0"/>
              <w:keepNext w:val="0"/>
              <w:pageBreakBefore w:val="0"/>
              <w:spacing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对生物多样性本底调查重难点的理解程度较高，报告编制大纲的合理性、准确性和可操作性较好，能有效运用于实际工作，得</w:t>
            </w: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分；</w:t>
            </w:r>
            <w:r/>
          </w:p>
          <w:p>
            <w:pPr>
              <w:ind w:firstLine="510"/>
              <w:jc w:val="left"/>
              <w:keepLines w:val="0"/>
              <w:keepNext w:val="0"/>
              <w:pageBreakBefore w:val="0"/>
              <w:spacing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对生物多样性本底调查重难点的理解程度一般，报告编制大纲的合理性、准确性和可操作性一般，基本能满足基础工作需求，得</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分；</w:t>
            </w:r>
            <w:r/>
          </w:p>
          <w:p>
            <w:pPr>
              <w:ind w:firstLine="510"/>
              <w:jc w:val="left"/>
              <w:keepLines w:val="0"/>
              <w:keepNext w:val="0"/>
              <w:pageBreakBefore w:val="0"/>
              <w:spacing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对生物多样性本底调查重难点的理解程度不足，报告编制大纲的合理性、准确性和可操作性较差，难以直接运用于实际工作，得</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分；</w:t>
            </w:r>
            <w:r/>
          </w:p>
          <w:p>
            <w:pPr>
              <w:ind w:firstLine="510"/>
              <w:jc w:val="left"/>
              <w:keepLines w:val="0"/>
              <w:keepNext w:val="0"/>
              <w:pageBreakBefore w:val="0"/>
              <w:spacing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未提供相关内容不得分。</w:t>
            </w:r>
            <w:r/>
          </w:p>
        </w:tc>
      </w:tr>
      <w:tr>
        <w:trPr>
          <w:jc w:val="center"/>
          <w:trHeight w:val="0"/>
        </w:trPr>
        <w:tc>
          <w:tcPr>
            <w:tcBorders>
              <w:left w:val="single" w:color="000000" w:sz="6" w:space="0"/>
              <w:right w:val="single" w:color="000000" w:sz="6" w:space="0"/>
            </w:tcBorders>
            <w:tcW w:w="951" w:type="dxa"/>
            <w:vAlign w:val="center"/>
            <w:vMerge w:val="continue"/>
            <w:textDirection w:val="lrTb"/>
            <w:noWrap w:val="false"/>
          </w:tcPr>
          <w:p>
            <w:pPr>
              <w:jc w:val="left"/>
              <w:keepLines w:val="0"/>
              <w:keepNext w:val="0"/>
              <w:pageBreakBefore w:val="0"/>
              <w:spacing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016" w:type="dxa"/>
            <w:vAlign w:val="center"/>
            <w:textDirection w:val="lrTb"/>
            <w:noWrap w:val="false"/>
          </w:tcPr>
          <w:p>
            <w:pPr>
              <w:jc w:val="left"/>
              <w:keepLines w:val="0"/>
              <w:keepNext w:val="0"/>
              <w:pageBreakBefore w:val="0"/>
              <w:spacing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沟通联络机制评价</w:t>
            </w:r>
            <w:r/>
          </w:p>
        </w:tc>
        <w:tc>
          <w:tcPr>
            <w:tcBorders>
              <w:top w:val="single" w:color="000000" w:sz="6" w:space="0"/>
              <w:left w:val="single" w:color="000000" w:sz="6" w:space="0"/>
              <w:bottom w:val="single" w:color="000000" w:sz="6" w:space="0"/>
              <w:right w:val="single" w:color="000000" w:sz="6" w:space="0"/>
            </w:tcBorders>
            <w:tcW w:w="923" w:type="dxa"/>
            <w:vAlign w:val="center"/>
            <w:textDirection w:val="lrTb"/>
            <w:noWrap w:val="false"/>
          </w:tcPr>
          <w:p>
            <w:pPr>
              <w:jc w:val="center"/>
              <w:keepLines w:val="0"/>
              <w:keepNext w:val="0"/>
              <w:pageBreakBefore w:val="0"/>
              <w:spacing w:line="360" w:lineRule="exact"/>
              <w:widowControl w:val="off"/>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val="en-US" w:eastAsia="zh-CN"/>
              </w:rPr>
              <w:t xml:space="preserve">.00</w:t>
            </w:r>
            <w:r/>
          </w:p>
        </w:tc>
        <w:tc>
          <w:tcPr>
            <w:tcBorders>
              <w:top w:val="single" w:color="000000" w:sz="6" w:space="0"/>
              <w:left w:val="single" w:color="000000" w:sz="6" w:space="0"/>
              <w:bottom w:val="single" w:color="000000" w:sz="6" w:space="0"/>
              <w:right w:val="single" w:color="000000" w:sz="6" w:space="0"/>
            </w:tcBorders>
            <w:tcW w:w="6079" w:type="dxa"/>
            <w:vAlign w:val="center"/>
            <w:textDirection w:val="lrTb"/>
            <w:noWrap w:val="false"/>
          </w:tcPr>
          <w:p>
            <w:pPr>
              <w:ind w:firstLine="420"/>
              <w:jc w:val="left"/>
              <w:keepLines w:val="0"/>
              <w:keepNext w:val="0"/>
              <w:pageBreakBefore w:val="0"/>
              <w:spacing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考察供应商对拟投入本项目的人员团队是否满足项目要求，供应商是否有相应生物多样性调查行业专家联络沟通机制，与省、市、区各级生态环境主管部门协调对接机制，进度安排是否合理等方面进行评价，项目实施及拟投入人员有较强的专业性，沟通联络机制很强，充分满足实际工作需求的，得</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分；实施过程及拟投入人员专业性略有欠缺，沟通联络机制较强的，得</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分；</w:t>
            </w:r>
            <w:r>
              <w:rPr>
                <w:rFonts w:hint="eastAsia" w:ascii="宋体" w:hAnsi="宋体" w:eastAsia="宋体" w:cs="宋体"/>
                <w:color w:val="auto"/>
                <w:sz w:val="24"/>
                <w:szCs w:val="24"/>
                <w:highlight w:val="none"/>
                <w:lang w:val="en-US" w:eastAsia="zh-CN"/>
              </w:rPr>
              <w:t xml:space="preserve">联络机制不完善</w:t>
            </w:r>
            <w:r>
              <w:rPr>
                <w:rFonts w:hint="eastAsia" w:ascii="宋体" w:hAnsi="宋体" w:eastAsia="宋体" w:cs="宋体"/>
                <w:color w:val="auto"/>
                <w:sz w:val="24"/>
                <w:szCs w:val="24"/>
                <w:highlight w:val="none"/>
              </w:rPr>
              <w:t xml:space="preserve">的得</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分，未提供不得分。</w:t>
            </w:r>
            <w:r/>
          </w:p>
        </w:tc>
      </w:tr>
      <w:tr>
        <w:trPr>
          <w:jc w:val="center"/>
          <w:trHeight w:val="0"/>
        </w:trPr>
        <w:tc>
          <w:tcPr>
            <w:tcBorders>
              <w:left w:val="single" w:color="000000" w:sz="6" w:space="0"/>
              <w:right w:val="single" w:color="000000" w:sz="6" w:space="0"/>
            </w:tcBorders>
            <w:tcW w:w="951" w:type="dxa"/>
            <w:vAlign w:val="center"/>
            <w:vMerge w:val="continue"/>
            <w:textDirection w:val="lrTb"/>
            <w:noWrap w:val="false"/>
          </w:tcPr>
          <w:p>
            <w:pPr>
              <w:jc w:val="left"/>
              <w:keepLines w:val="0"/>
              <w:keepNext w:val="0"/>
              <w:pageBreakBefore w:val="0"/>
              <w:spacing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016" w:type="dxa"/>
            <w:vAlign w:val="center"/>
            <w:textDirection w:val="lrTb"/>
            <w:noWrap w:val="false"/>
          </w:tcPr>
          <w:p>
            <w:pPr>
              <w:jc w:val="left"/>
              <w:keepLines w:val="0"/>
              <w:keepNext w:val="0"/>
              <w:pageBreakBefore w:val="0"/>
              <w:spacing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进度实施计划</w:t>
            </w:r>
            <w:r/>
          </w:p>
        </w:tc>
        <w:tc>
          <w:tcPr>
            <w:tcBorders>
              <w:top w:val="single" w:color="000000" w:sz="6" w:space="0"/>
              <w:left w:val="single" w:color="000000" w:sz="6" w:space="0"/>
              <w:bottom w:val="single" w:color="000000" w:sz="6" w:space="0"/>
              <w:right w:val="single" w:color="000000" w:sz="6" w:space="0"/>
            </w:tcBorders>
            <w:tcW w:w="923" w:type="dxa"/>
            <w:vAlign w:val="center"/>
            <w:textDirection w:val="lrTb"/>
            <w:noWrap w:val="false"/>
          </w:tcPr>
          <w:p>
            <w:pPr>
              <w:jc w:val="center"/>
              <w:keepLines w:val="0"/>
              <w:keepNext w:val="0"/>
              <w:pageBreakBefore w:val="0"/>
              <w:spacing w:line="360" w:lineRule="exact"/>
              <w:widowControl w:val="off"/>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10.00</w:t>
            </w:r>
            <w:r/>
          </w:p>
        </w:tc>
        <w:tc>
          <w:tcPr>
            <w:tcBorders>
              <w:top w:val="single" w:color="000000" w:sz="6" w:space="0"/>
              <w:left w:val="single" w:color="000000" w:sz="6" w:space="0"/>
              <w:bottom w:val="single" w:color="000000" w:sz="6" w:space="0"/>
              <w:right w:val="single" w:color="000000" w:sz="6" w:space="0"/>
            </w:tcBorders>
            <w:tcW w:w="6079" w:type="dxa"/>
            <w:vAlign w:val="center"/>
            <w:textDirection w:val="lrTb"/>
            <w:noWrap w:val="false"/>
          </w:tcPr>
          <w:p>
            <w:pPr>
              <w:ind w:firstLine="420"/>
              <w:jc w:val="left"/>
              <w:keepLines w:val="0"/>
              <w:keepNext w:val="0"/>
              <w:pageBreakBefore w:val="0"/>
              <w:spacing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供应商针对本项目制定的编制进度安排科学合理，各项进度保证措施详细具体，各环节衔接紧凑顺畅，能全面优于比选需求，可确保项目高效推进、按时高质量完成，得10分；</w:t>
            </w:r>
            <w:r/>
          </w:p>
          <w:p>
            <w:pPr>
              <w:ind w:firstLine="420"/>
              <w:jc w:val="left"/>
              <w:keepLines w:val="0"/>
              <w:keepNext w:val="0"/>
              <w:pageBreakBefore w:val="0"/>
              <w:spacing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编制进度安排合理，进度保证措施完善，各环节衔接有序，完全满足比选需求，可确保项目按时完成，得8分；</w:t>
            </w:r>
            <w:r/>
          </w:p>
          <w:p>
            <w:pPr>
              <w:ind w:firstLine="420"/>
              <w:jc w:val="left"/>
              <w:keepLines w:val="0"/>
              <w:keepNext w:val="0"/>
              <w:pageBreakBefore w:val="0"/>
              <w:spacing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编制进度安排基本合理，进度保证措施基本完善，各环节衔接基本顺畅，能够满足比选核心需求，得6分；</w:t>
            </w:r>
            <w:r/>
          </w:p>
          <w:p>
            <w:pPr>
              <w:ind w:firstLine="420"/>
              <w:jc w:val="left"/>
              <w:keepLines w:val="0"/>
              <w:keepNext w:val="0"/>
              <w:pageBreakBefore w:val="0"/>
              <w:spacing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编制进度安排略微笼统，进度保证措施不够细致，各环节衔接不够紧密，但后期经过优化可实现比选需求要求，得4分；</w:t>
            </w:r>
            <w:r/>
          </w:p>
          <w:p>
            <w:pPr>
              <w:ind w:firstLine="420"/>
              <w:jc w:val="left"/>
              <w:keepLines w:val="0"/>
              <w:keepNext w:val="0"/>
              <w:pageBreakBefore w:val="0"/>
              <w:spacing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编制进度安排混乱，进度保证措施缺失或不完善，各环节衔接松散，难以实现比选需求，优化后仍存在较大执行难度，得2分；</w:t>
            </w:r>
            <w:r/>
          </w:p>
          <w:p>
            <w:pPr>
              <w:ind w:firstLine="420"/>
              <w:jc w:val="left"/>
              <w:keepLines w:val="0"/>
              <w:keepNext w:val="0"/>
              <w:pageBreakBefore w:val="0"/>
              <w:spacing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未提供编制进度和各项进度保证措施方案，或提供的内容与本项目无关、无法落地，不得分。</w:t>
            </w:r>
            <w:r/>
          </w:p>
        </w:tc>
      </w:tr>
      <w:tr>
        <w:trPr>
          <w:jc w:val="center"/>
          <w:trHeight w:val="0"/>
        </w:trPr>
        <w:tc>
          <w:tcPr>
            <w:tcBorders>
              <w:left w:val="single" w:color="000000" w:sz="6" w:space="0"/>
              <w:right w:val="single" w:color="000000" w:sz="6" w:space="0"/>
            </w:tcBorders>
            <w:tcW w:w="951" w:type="dxa"/>
            <w:vAlign w:val="center"/>
            <w:vMerge w:val="continue"/>
            <w:textDirection w:val="lrTb"/>
            <w:noWrap w:val="false"/>
          </w:tcPr>
          <w:p>
            <w:pPr>
              <w:jc w:val="left"/>
              <w:keepLines w:val="0"/>
              <w:keepNext w:val="0"/>
              <w:pageBreakBefore w:val="0"/>
              <w:spacing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016" w:type="dxa"/>
            <w:vAlign w:val="center"/>
            <w:textDirection w:val="lrTb"/>
            <w:noWrap w:val="false"/>
          </w:tcPr>
          <w:p>
            <w:pPr>
              <w:jc w:val="left"/>
              <w:keepLines w:val="0"/>
              <w:keepNext w:val="0"/>
              <w:pageBreakBefore w:val="0"/>
              <w:spacing w:line="36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后续服务</w:t>
            </w:r>
            <w:r>
              <w:rPr>
                <w:rFonts w:hint="eastAsia" w:ascii="宋体" w:hAnsi="宋体" w:eastAsia="宋体" w:cs="宋体"/>
                <w:color w:val="auto"/>
                <w:sz w:val="24"/>
                <w:szCs w:val="24"/>
                <w:highlight w:val="none"/>
                <w:lang w:val="en-US" w:eastAsia="zh-CN"/>
              </w:rPr>
              <w:t xml:space="preserve">方案</w:t>
            </w:r>
            <w:r/>
          </w:p>
        </w:tc>
        <w:tc>
          <w:tcPr>
            <w:tcBorders>
              <w:top w:val="single" w:color="000000" w:sz="6" w:space="0"/>
              <w:left w:val="single" w:color="000000" w:sz="6" w:space="0"/>
              <w:bottom w:val="single" w:color="000000" w:sz="6" w:space="0"/>
              <w:right w:val="single" w:color="000000" w:sz="6" w:space="0"/>
            </w:tcBorders>
            <w:tcW w:w="923" w:type="dxa"/>
            <w:vAlign w:val="center"/>
            <w:textDirection w:val="lrTb"/>
            <w:noWrap w:val="false"/>
          </w:tcPr>
          <w:p>
            <w:pPr>
              <w:jc w:val="center"/>
              <w:keepLines w:val="0"/>
              <w:keepNext w:val="0"/>
              <w:pageBreakBefore w:val="0"/>
              <w:spacing w:line="360" w:lineRule="exact"/>
              <w:widowControl w:val="off"/>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5.00</w:t>
            </w:r>
            <w:r/>
          </w:p>
        </w:tc>
        <w:tc>
          <w:tcPr>
            <w:tcBorders>
              <w:top w:val="single" w:color="000000" w:sz="6" w:space="0"/>
              <w:left w:val="single" w:color="000000" w:sz="6" w:space="0"/>
              <w:bottom w:val="single" w:color="000000" w:sz="6" w:space="0"/>
              <w:right w:val="single" w:color="000000" w:sz="6" w:space="0"/>
            </w:tcBorders>
            <w:tcW w:w="6079" w:type="dxa"/>
            <w:vAlign w:val="center"/>
            <w:textDirection w:val="lrTb"/>
            <w:noWrap w:val="false"/>
          </w:tcPr>
          <w:p>
            <w:pPr>
              <w:ind w:firstLine="420"/>
              <w:jc w:val="left"/>
              <w:keepLines w:val="0"/>
              <w:keepNext w:val="0"/>
              <w:pageBreakBefore w:val="0"/>
              <w:spacing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提供针对本项目的后续服务方案，方案包含不限于：①售后服务方案、②应急保障措施方案等内容：后续服务计划及承诺明确、周全得5分；后续服务计划及承诺较为明确得3分；有一定的后续服务计划及承诺得1分；与本项目无关或无内容的不得分。</w:t>
            </w:r>
            <w:r/>
          </w:p>
        </w:tc>
      </w:tr>
      <w:tr>
        <w:trPr>
          <w:jc w:val="center"/>
          <w:trHeight w:val="0"/>
        </w:trPr>
        <w:tc>
          <w:tcPr>
            <w:tcBorders>
              <w:top w:val="single" w:color="000000" w:sz="6" w:space="0"/>
              <w:left w:val="single" w:color="000000" w:sz="6" w:space="0"/>
              <w:right w:val="single" w:color="000000" w:sz="6" w:space="0"/>
            </w:tcBorders>
            <w:tcW w:w="951" w:type="dxa"/>
            <w:vAlign w:val="center"/>
            <w:vMerge w:val="restart"/>
            <w:textDirection w:val="lrTb"/>
            <w:noWrap w:val="false"/>
          </w:tcPr>
          <w:p>
            <w:pPr>
              <w:jc w:val="left"/>
              <w:keepLines w:val="0"/>
              <w:keepNext w:val="0"/>
              <w:pageBreakBefore w:val="0"/>
              <w:spacing w:line="36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企业经营业绩、</w:t>
            </w:r>
            <w:r>
              <w:rPr>
                <w:rFonts w:hint="eastAsia" w:ascii="宋体" w:hAnsi="宋体" w:eastAsia="宋体" w:cs="宋体"/>
                <w:color w:val="auto"/>
                <w:sz w:val="24"/>
                <w:szCs w:val="24"/>
                <w:highlight w:val="none"/>
                <w:lang w:val="en-US" w:eastAsia="zh-CN"/>
              </w:rPr>
              <w:t xml:space="preserve">实力</w:t>
            </w:r>
            <w:r/>
          </w:p>
        </w:tc>
        <w:tc>
          <w:tcPr>
            <w:tcBorders>
              <w:top w:val="single" w:color="000000" w:sz="6" w:space="0"/>
              <w:left w:val="single" w:color="000000" w:sz="6" w:space="0"/>
              <w:bottom w:val="single" w:color="000000" w:sz="6" w:space="0"/>
              <w:right w:val="single" w:color="000000" w:sz="6" w:space="0"/>
            </w:tcBorders>
            <w:tcW w:w="1016" w:type="dxa"/>
            <w:vAlign w:val="center"/>
            <w:textDirection w:val="lrTb"/>
            <w:noWrap w:val="false"/>
          </w:tcPr>
          <w:p>
            <w:pPr>
              <w:jc w:val="left"/>
              <w:keepLines w:val="0"/>
              <w:keepNext w:val="0"/>
              <w:pageBreakBefore w:val="0"/>
              <w:spacing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企业业绩</w:t>
            </w:r>
            <w:r/>
          </w:p>
        </w:tc>
        <w:tc>
          <w:tcPr>
            <w:tcBorders>
              <w:top w:val="single" w:color="000000" w:sz="6" w:space="0"/>
              <w:left w:val="single" w:color="000000" w:sz="6" w:space="0"/>
              <w:bottom w:val="single" w:color="000000" w:sz="6" w:space="0"/>
              <w:right w:val="single" w:color="000000" w:sz="6" w:space="0"/>
            </w:tcBorders>
            <w:tcW w:w="923"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12</w:t>
            </w:r>
            <w:r>
              <w:rPr>
                <w:rFonts w:hint="eastAsia" w:ascii="宋体" w:hAnsi="宋体" w:eastAsia="宋体" w:cs="宋体"/>
                <w:color w:val="auto"/>
                <w:sz w:val="24"/>
                <w:szCs w:val="24"/>
                <w:highlight w:val="none"/>
              </w:rPr>
              <w:t xml:space="preserve">.00</w:t>
            </w:r>
            <w:r/>
          </w:p>
        </w:tc>
        <w:tc>
          <w:tcPr>
            <w:tcBorders>
              <w:top w:val="single" w:color="000000" w:sz="6" w:space="0"/>
              <w:left w:val="single" w:color="000000" w:sz="6" w:space="0"/>
              <w:bottom w:val="single" w:color="000000" w:sz="6" w:space="0"/>
              <w:right w:val="single" w:color="000000" w:sz="6" w:space="0"/>
            </w:tcBorders>
            <w:tcW w:w="6079" w:type="dxa"/>
            <w:vAlign w:val="center"/>
            <w:textDirection w:val="lrTb"/>
            <w:noWrap w:val="false"/>
          </w:tcPr>
          <w:p>
            <w:pPr>
              <w:ind w:firstLine="422"/>
              <w:jc w:val="left"/>
              <w:keepLines w:val="0"/>
              <w:keepNext w:val="0"/>
              <w:pageBreakBefore w:val="0"/>
              <w:spacing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供应商自</w:t>
            </w:r>
            <w:r>
              <w:rPr>
                <w:rFonts w:hint="eastAsia" w:ascii="宋体" w:hAnsi="宋体" w:eastAsia="宋体" w:cs="宋体"/>
                <w:color w:val="auto"/>
                <w:sz w:val="24"/>
                <w:szCs w:val="24"/>
                <w:highlight w:val="none"/>
              </w:rPr>
              <w:t xml:space="preserve">202</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年1月1日以来（以合同签订日期为准）承接过生物多样性调查相关业绩，</w:t>
            </w:r>
            <w:r>
              <w:rPr>
                <w:rFonts w:hint="eastAsia" w:ascii="宋体" w:hAnsi="宋体" w:eastAsia="宋体" w:cs="宋体"/>
                <w:b w:val="0"/>
                <w:bCs/>
                <w:color w:val="auto"/>
                <w:sz w:val="24"/>
                <w:szCs w:val="24"/>
                <w:highlight w:val="none"/>
              </w:rPr>
              <w:t xml:space="preserve">每有一个得</w:t>
            </w:r>
            <w:r>
              <w:rPr>
                <w:rFonts w:hint="eastAsia" w:ascii="宋体" w:hAnsi="宋体" w:cs="宋体"/>
                <w:b w:val="0"/>
                <w:bCs/>
                <w:color w:val="auto"/>
                <w:sz w:val="24"/>
                <w:szCs w:val="24"/>
                <w:highlight w:val="none"/>
                <w:lang w:val="en-US" w:eastAsia="zh-CN"/>
              </w:rPr>
              <w:t xml:space="preserve">3</w:t>
            </w:r>
            <w:r>
              <w:rPr>
                <w:rFonts w:hint="eastAsia" w:ascii="宋体" w:hAnsi="宋体" w:eastAsia="宋体" w:cs="宋体"/>
                <w:b w:val="0"/>
                <w:bCs/>
                <w:color w:val="auto"/>
                <w:sz w:val="24"/>
                <w:szCs w:val="24"/>
                <w:highlight w:val="none"/>
              </w:rPr>
              <w:t xml:space="preserve">分</w:t>
            </w:r>
            <w:r>
              <w:rPr>
                <w:rFonts w:hint="eastAsia" w:ascii="宋体" w:hAnsi="宋体" w:eastAsia="宋体" w:cs="宋体"/>
                <w:color w:val="auto"/>
                <w:sz w:val="24"/>
                <w:szCs w:val="24"/>
                <w:highlight w:val="none"/>
              </w:rPr>
              <w:t xml:space="preserve">，本项最高得</w:t>
            </w:r>
            <w:r>
              <w:rPr>
                <w:rFonts w:hint="eastAsia" w:ascii="宋体" w:hAnsi="宋体" w:cs="宋体"/>
                <w:color w:val="auto"/>
                <w:sz w:val="24"/>
                <w:szCs w:val="24"/>
                <w:highlight w:val="none"/>
                <w:lang w:val="en-US" w:eastAsia="zh-CN"/>
              </w:rPr>
              <w:t xml:space="preserve">12</w:t>
            </w:r>
            <w:r>
              <w:rPr>
                <w:rFonts w:hint="eastAsia" w:ascii="宋体" w:hAnsi="宋体" w:eastAsia="宋体" w:cs="宋体"/>
                <w:color w:val="auto"/>
                <w:sz w:val="24"/>
                <w:szCs w:val="24"/>
                <w:highlight w:val="none"/>
              </w:rPr>
              <w:t xml:space="preserve">分。</w:t>
            </w:r>
            <w:r/>
          </w:p>
          <w:p>
            <w:pPr>
              <w:ind w:firstLine="422"/>
              <w:jc w:val="left"/>
              <w:keepLines w:val="0"/>
              <w:keepNext w:val="0"/>
              <w:pageBreakBefore w:val="0"/>
              <w:spacing w:line="360" w:lineRule="exact"/>
              <w:widowControl w:val="off"/>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lang w:val="en-US" w:eastAsia="zh-CN"/>
              </w:rPr>
              <w:t xml:space="preserve">备注</w:t>
            </w:r>
            <w:r>
              <w:rPr>
                <w:rFonts w:hint="eastAsia" w:ascii="宋体" w:hAnsi="宋体" w:eastAsia="宋体" w:cs="宋体"/>
                <w:color w:val="auto"/>
                <w:sz w:val="24"/>
                <w:szCs w:val="24"/>
                <w:highlight w:val="none"/>
              </w:rPr>
              <w:t xml:space="preserve">：业绩提供合同和中标</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成交</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通知书扫描件，扫描件中的标的信息、签订时间等相关信息清晰可见，否则不得分。 </w:t>
            </w:r>
            <w:r/>
          </w:p>
        </w:tc>
      </w:tr>
      <w:tr>
        <w:trPr>
          <w:jc w:val="center"/>
          <w:trHeight w:val="0"/>
        </w:trPr>
        <w:tc>
          <w:tcPr>
            <w:tcBorders>
              <w:left w:val="single" w:color="000000" w:sz="6" w:space="0"/>
              <w:right w:val="single" w:color="000000" w:sz="6" w:space="0"/>
            </w:tcBorders>
            <w:tcW w:w="951" w:type="dxa"/>
            <w:vAlign w:val="center"/>
            <w:vMerge w:val="continue"/>
            <w:textDirection w:val="lrTb"/>
            <w:noWrap w:val="false"/>
          </w:tcPr>
          <w:p>
            <w:pPr>
              <w:ind w:firstLine="420"/>
              <w:jc w:val="left"/>
              <w:keepLines w:val="0"/>
              <w:keepNext w:val="0"/>
              <w:pageBreakBefore w:val="0"/>
              <w:spacing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016" w:type="dxa"/>
            <w:vAlign w:val="center"/>
            <w:textDirection w:val="lrTb"/>
            <w:noWrap w:val="false"/>
          </w:tcPr>
          <w:p>
            <w:pPr>
              <w:jc w:val="left"/>
              <w:keepLines w:val="0"/>
              <w:keepNext w:val="0"/>
              <w:pageBreakBefore w:val="0"/>
              <w:spacing w:line="360" w:lineRule="exact"/>
              <w:widowControl w:val="off"/>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项目</w:t>
            </w:r>
            <w:r>
              <w:rPr>
                <w:rFonts w:hint="eastAsia" w:ascii="宋体" w:hAnsi="宋体" w:eastAsia="宋体" w:cs="宋体"/>
                <w:color w:val="auto"/>
                <w:sz w:val="24"/>
                <w:szCs w:val="24"/>
                <w:highlight w:val="none"/>
                <w:lang w:val="en-US" w:eastAsia="zh-CN"/>
              </w:rPr>
              <w:t xml:space="preserve">负责人实力</w:t>
            </w:r>
            <w:r/>
          </w:p>
        </w:tc>
        <w:tc>
          <w:tcPr>
            <w:tcBorders>
              <w:top w:val="single" w:color="000000" w:sz="6" w:space="0"/>
              <w:left w:val="single" w:color="000000" w:sz="6" w:space="0"/>
              <w:bottom w:val="single" w:color="000000" w:sz="6" w:space="0"/>
              <w:right w:val="single" w:color="000000" w:sz="6" w:space="0"/>
            </w:tcBorders>
            <w:tcW w:w="923"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.00</w:t>
            </w:r>
            <w:r/>
          </w:p>
        </w:tc>
        <w:tc>
          <w:tcPr>
            <w:tcBorders>
              <w:top w:val="single" w:color="000000" w:sz="6" w:space="0"/>
              <w:left w:val="single" w:color="000000" w:sz="6" w:space="0"/>
              <w:bottom w:val="single" w:color="000000" w:sz="6" w:space="0"/>
              <w:right w:val="single" w:color="000000" w:sz="6" w:space="0"/>
            </w:tcBorders>
            <w:tcW w:w="6079" w:type="dxa"/>
            <w:vAlign w:val="center"/>
            <w:textDirection w:val="lrTb"/>
            <w:noWrap w:val="false"/>
          </w:tcPr>
          <w:p>
            <w:pPr>
              <w:numPr>
                <w:ilvl w:val="0"/>
                <w:numId w:val="0"/>
              </w:numPr>
              <w:ind w:firstLine="422"/>
              <w:jc w:val="left"/>
              <w:keepLines w:val="0"/>
              <w:keepNext w:val="0"/>
              <w:pageBreakBefore w:val="0"/>
              <w:spacing w:line="36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1.项目负责人具有生态环境、林业相关专业正高级职称的，得2分；具有生态环境、林业相关专业高级职称的，得1分；本项最高得2分。其他不得分。</w:t>
            </w:r>
            <w:r/>
          </w:p>
          <w:p>
            <w:pPr>
              <w:numPr>
                <w:ilvl w:val="0"/>
                <w:numId w:val="0"/>
              </w:numPr>
              <w:ind w:firstLine="422"/>
              <w:jc w:val="left"/>
              <w:keepLines w:val="0"/>
              <w:keepNext w:val="0"/>
              <w:pageBreakBefore w:val="0"/>
              <w:spacing w:line="360" w:lineRule="exact"/>
              <w:widowControl w:val="off"/>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备注：需提供项目负责人职称证书和投标供应商在本项目采购公告之日前6个月内为项目负责人缴纳的任意一个月的社保证明并加盖投标供应商公章，未按要求提供的不得分。</w:t>
            </w:r>
            <w:r/>
          </w:p>
          <w:p>
            <w:pPr>
              <w:numPr>
                <w:ilvl w:val="0"/>
                <w:numId w:val="0"/>
              </w:numPr>
              <w:ind w:firstLine="422"/>
              <w:jc w:val="left"/>
              <w:keepLines w:val="0"/>
              <w:keepNext w:val="0"/>
              <w:pageBreakBefore w:val="0"/>
              <w:spacing w:line="36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2.项目负责人被纳入省级及以上森林资源管理专家库成员的，得</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分，被纳入市级及以下森林资源管理专家库成员的，得1分，其他不得分。本项最高得</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分。</w:t>
            </w:r>
            <w:r/>
          </w:p>
          <w:p>
            <w:pPr>
              <w:numPr>
                <w:ilvl w:val="0"/>
                <w:numId w:val="0"/>
              </w:numPr>
              <w:ind w:firstLine="422"/>
              <w:jc w:val="left"/>
              <w:keepLines w:val="0"/>
              <w:keepNext w:val="0"/>
              <w:pageBreakBefore w:val="0"/>
              <w:spacing w:line="360" w:lineRule="exact"/>
              <w:widowControl w:val="off"/>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备注：需提供林业主管部门盖章的证明材料和官方公示截图，未按要求提供的不得分。</w:t>
            </w:r>
            <w:r/>
          </w:p>
          <w:p>
            <w:pPr>
              <w:numPr>
                <w:ilvl w:val="0"/>
                <w:numId w:val="0"/>
              </w:numPr>
              <w:ind w:firstLine="422"/>
              <w:jc w:val="left"/>
              <w:keepLines w:val="0"/>
              <w:keepNext w:val="0"/>
              <w:pageBreakBefore w:val="0"/>
              <w:spacing w:line="36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3.项目负责人自2023年1月1日以来承担过生物多样性调查相关业绩并担任负责人的，得2分。</w:t>
            </w:r>
            <w:r/>
          </w:p>
          <w:p>
            <w:pPr>
              <w:numPr>
                <w:ilvl w:val="0"/>
                <w:numId w:val="0"/>
              </w:numPr>
              <w:ind w:firstLine="422"/>
              <w:jc w:val="left"/>
              <w:keepLines w:val="0"/>
              <w:keepNext w:val="0"/>
              <w:pageBreakBefore w:val="0"/>
              <w:spacing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备注：提供合同与中标（成交）通知书扫描件，如上述材料中无法体现的，还需提供加盖合同甲方公章的证明材料，未按要求提供的不得分。</w:t>
            </w:r>
            <w:bookmarkEnd w:id="210"/>
            <w:r/>
            <w:r/>
          </w:p>
        </w:tc>
      </w:tr>
      <w:tr>
        <w:trPr>
          <w:jc w:val="center"/>
          <w:trHeight w:val="0"/>
        </w:trPr>
        <w:tc>
          <w:tcPr>
            <w:tcBorders>
              <w:left w:val="single" w:color="000000" w:sz="6" w:space="0"/>
              <w:right w:val="single" w:color="000000" w:sz="6" w:space="0"/>
            </w:tcBorders>
            <w:tcW w:w="951" w:type="dxa"/>
            <w:vAlign w:val="center"/>
            <w:vMerge w:val="continue"/>
            <w:textDirection w:val="lrTb"/>
            <w:noWrap w:val="false"/>
          </w:tcPr>
          <w:p>
            <w:pPr>
              <w:ind w:firstLine="420"/>
              <w:jc w:val="left"/>
              <w:keepLines w:val="0"/>
              <w:keepNext w:val="0"/>
              <w:pageBreakBefore w:val="0"/>
              <w:spacing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016" w:type="dxa"/>
            <w:vAlign w:val="center"/>
            <w:textDirection w:val="lrTb"/>
            <w:noWrap w:val="false"/>
          </w:tcPr>
          <w:p>
            <w:pPr>
              <w:jc w:val="left"/>
              <w:keepLines w:val="0"/>
              <w:keepNext w:val="0"/>
              <w:pageBreakBefore w:val="0"/>
              <w:spacing w:line="360" w:lineRule="exact"/>
              <w:widowControl w:val="off"/>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项目组人员配备</w:t>
            </w:r>
            <w:r/>
          </w:p>
        </w:tc>
        <w:tc>
          <w:tcPr>
            <w:tcBorders>
              <w:top w:val="single" w:color="000000" w:sz="6" w:space="0"/>
              <w:left w:val="single" w:color="000000" w:sz="6" w:space="0"/>
              <w:bottom w:val="single" w:color="000000" w:sz="6" w:space="0"/>
              <w:right w:val="single" w:color="000000" w:sz="6" w:space="0"/>
            </w:tcBorders>
            <w:tcW w:w="923" w:type="dxa"/>
            <w:vAlign w:val="center"/>
            <w:textDirection w:val="lrTb"/>
            <w:noWrap w:val="false"/>
          </w:tcPr>
          <w:p>
            <w:pPr>
              <w:jc w:val="center"/>
              <w:keepLines w:val="0"/>
              <w:keepNext w:val="0"/>
              <w:pageBreakBefore w:val="0"/>
              <w:spacing w:line="360" w:lineRule="exact"/>
              <w:widowControl w:val="off"/>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val="en-US" w:eastAsia="zh-CN"/>
              </w:rPr>
              <w:t xml:space="preserve">.00</w:t>
            </w:r>
            <w:r/>
          </w:p>
        </w:tc>
        <w:tc>
          <w:tcPr>
            <w:tcBorders>
              <w:top w:val="single" w:color="000000" w:sz="6" w:space="0"/>
              <w:left w:val="single" w:color="000000" w:sz="6" w:space="0"/>
              <w:bottom w:val="single" w:color="000000" w:sz="6" w:space="0"/>
              <w:right w:val="single" w:color="000000" w:sz="6" w:space="0"/>
            </w:tcBorders>
            <w:tcW w:w="6079" w:type="dxa"/>
            <w:vAlign w:val="center"/>
            <w:textDirection w:val="lrTb"/>
            <w:noWrap w:val="false"/>
          </w:tcPr>
          <w:p>
            <w:pPr>
              <w:numPr>
                <w:ilvl w:val="0"/>
                <w:numId w:val="0"/>
              </w:numPr>
              <w:ind w:firstLine="422"/>
              <w:jc w:val="left"/>
              <w:keepLines w:val="0"/>
              <w:keepNext w:val="0"/>
              <w:pageBreakBefore w:val="0"/>
              <w:spacing w:line="36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1.项目组成员中（除项目负责人外），具备野生动植物保护与利用、自然保护区、植物学、动物学、生物安全、环境科学、3S集成与气象应用</w:t>
            </w:r>
            <w:r>
              <w:rPr>
                <w:rFonts w:hint="eastAsia" w:ascii="宋体" w:hAnsi="宋体" w:cs="宋体"/>
                <w:color w:val="auto"/>
                <w:sz w:val="24"/>
                <w:szCs w:val="24"/>
                <w:highlight w:val="none"/>
                <w:lang w:val="en-US" w:eastAsia="zh-CN"/>
              </w:rPr>
              <w:t xml:space="preserve">以上相关</w:t>
            </w:r>
            <w:r>
              <w:rPr>
                <w:rFonts w:hint="eastAsia" w:ascii="宋体" w:hAnsi="宋体" w:eastAsia="宋体" w:cs="宋体"/>
                <w:color w:val="auto"/>
                <w:sz w:val="24"/>
                <w:szCs w:val="24"/>
                <w:highlight w:val="none"/>
                <w:lang w:val="en-US" w:eastAsia="zh-CN"/>
              </w:rPr>
              <w:t xml:space="preserve">专业的，每具备一个专业得1分，本小项最高得7分。</w:t>
            </w:r>
            <w:r/>
          </w:p>
          <w:p>
            <w:pPr>
              <w:numPr>
                <w:ilvl w:val="0"/>
                <w:numId w:val="0"/>
              </w:numPr>
              <w:ind w:firstLine="422"/>
              <w:jc w:val="left"/>
              <w:keepLines w:val="0"/>
              <w:keepNext w:val="0"/>
              <w:pageBreakBefore w:val="0"/>
              <w:spacing w:line="36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备注：需提供项目组成员毕业证书（专业以毕业证为准）和投标供应商在本项目采购公告之日前6个月内为项目项目组成员缴纳的任意一个月的社保证明并加盖投标供应商公章，未按要求提供的不得分。</w:t>
            </w:r>
            <w:r/>
          </w:p>
          <w:p>
            <w:pPr>
              <w:numPr>
                <w:ilvl w:val="0"/>
                <w:numId w:val="0"/>
              </w:numPr>
              <w:ind w:firstLine="422"/>
              <w:jc w:val="left"/>
              <w:keepLines w:val="0"/>
              <w:keepNext w:val="0"/>
              <w:pageBreakBefore w:val="0"/>
              <w:spacing w:line="36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2.上述专业项目组成员（本项第1条中得分人员）中，被纳入省级及以上野生动植物识别相关专家库的，每有1人得</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en-US" w:eastAsia="zh-CN"/>
              </w:rPr>
              <w:t xml:space="preserve">分，被纳入市级野生动植物识别相关专家库的，每有1人得</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分，本小项最高得</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val="en-US" w:eastAsia="zh-CN"/>
              </w:rPr>
              <w:t xml:space="preserve">分。</w:t>
            </w:r>
            <w:r/>
          </w:p>
          <w:p>
            <w:pPr>
              <w:numPr>
                <w:ilvl w:val="0"/>
                <w:numId w:val="0"/>
              </w:numPr>
              <w:ind w:firstLine="422"/>
              <w:jc w:val="left"/>
              <w:keepLines w:val="0"/>
              <w:keepNext w:val="0"/>
              <w:pageBreakBefore w:val="0"/>
              <w:spacing w:line="36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备注：需提供相关主管部门盖章的证明材料和官方公示截图,未按要求提供不得分。</w:t>
            </w:r>
            <w:r/>
          </w:p>
          <w:p>
            <w:pPr>
              <w:numPr>
                <w:ilvl w:val="0"/>
                <w:numId w:val="0"/>
              </w:numPr>
              <w:ind w:firstLine="422"/>
              <w:jc w:val="left"/>
              <w:keepLines w:val="0"/>
              <w:keepNext w:val="0"/>
              <w:pageBreakBefore w:val="0"/>
              <w:spacing w:line="36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3.上述专业项目组成员（本项第1条中得分人员）中，每一个专业具有高级及以上职称得1分，仅具有中级职称得0.5分，本小项最高得4分。</w:t>
            </w:r>
            <w:r/>
          </w:p>
          <w:p>
            <w:pPr>
              <w:numPr>
                <w:ilvl w:val="0"/>
                <w:numId w:val="0"/>
              </w:numPr>
              <w:ind w:firstLine="422"/>
              <w:jc w:val="left"/>
              <w:keepLines w:val="0"/>
              <w:keepNext w:val="0"/>
              <w:pageBreakBefore w:val="0"/>
              <w:spacing w:line="360" w:lineRule="exact"/>
              <w:widowControl w:val="off"/>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备注：需提供项目组成员职称证书并加盖公章，未按要求提供不得分。</w:t>
            </w:r>
            <w:r/>
          </w:p>
        </w:tc>
      </w:tr>
    </w:tbl>
    <w:p>
      <w:pPr>
        <w:ind w:firstLine="482"/>
        <w:spacing w:line="50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（四）政府采购政策功能落实</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本项目按以下第</w:t>
      </w:r>
      <w:r>
        <w:rPr>
          <w:rFonts w:hint="eastAsia" w:ascii="宋体" w:hAnsi="宋体" w:eastAsia="宋体" w:cs="宋体"/>
          <w:color w:val="auto"/>
          <w:sz w:val="24"/>
          <w:szCs w:val="24"/>
          <w:highlight w:val="none"/>
          <w:u w:val="single"/>
        </w:rPr>
        <w:t xml:space="preserve">1</w:t>
      </w:r>
      <w:r>
        <w:rPr>
          <w:rFonts w:hint="eastAsia" w:ascii="宋体" w:hAnsi="宋体" w:eastAsia="宋体" w:cs="宋体"/>
          <w:color w:val="auto"/>
          <w:sz w:val="24"/>
          <w:szCs w:val="24"/>
          <w:highlight w:val="none"/>
        </w:rPr>
        <w:t xml:space="preserve">种政策确定本项目落实的中小企业政策：</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（1）本项目专门面向中小企业（含监狱企业、残疾人福利企业）采购。</w:t>
      </w:r>
      <w:r/>
    </w:p>
    <w:p>
      <w:pPr>
        <w:ind w:firstLine="48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（一）在货物采购项目中，货物由中小企业制造，即货物由中小企业生产且使用该中小企业商号或者注册商标；</w:t>
      </w:r>
      <w:r/>
    </w:p>
    <w:p>
      <w:pPr>
        <w:ind w:firstLine="48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（二）在工程采购项目中，工程由中小企业承建，即工程施工单位为中小企业；</w:t>
      </w:r>
      <w:r/>
    </w:p>
    <w:p>
      <w:pPr>
        <w:ind w:firstLine="48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（三）在服务采购项目中，服务由中小企业承接，即提供服务的人员为中小企业依照《中华人民共和国民法典》订立劳动合同的从业人员。</w:t>
      </w:r>
      <w:r/>
    </w:p>
    <w:p>
      <w:pPr>
        <w:ind w:firstLine="48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注：①参加投标的中小企业，应当按照《政府采购促进中小企业发展管理办法》（财库〔2020〕46号）规定，出具《中小企业声明函》，中小企业划型依据《关于印发中小企业划型标准规定的通知》（工信部联企业〔2011〕300号）。</w:t>
      </w:r>
      <w:r/>
    </w:p>
    <w:p>
      <w:pPr>
        <w:ind w:firstLine="48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②参加投标的监狱企业，视同小型、微型企业。监狱企业应当按照《财政部司法部关于政府采购支持监狱企业发展有关问题的通知》（财库〔2014〕68号）的规定，提供由省级以上监狱管理局、戒毒管理局(含新疆生产建设兵团)出具的属于监狱企业的证明文件（响应文件中上传加盖出具单位公章的电子件）。</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③参加投标的残疾人福利性单位，视同小型、微型企业。残疾人福利性单位应当按照《财政部民政部中国残疾人联合会关于促进残疾人就业政府采购政策的通知》（财库〔2017〕141号）的规定，提供《残疾人福利性单位声明函》。</w:t>
      </w:r>
      <w:r/>
    </w:p>
    <w:p>
      <w:pPr>
        <w:ind w:firstLine="480"/>
        <w:spacing w:line="480" w:lineRule="exact"/>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2.采购本国产品的支持政策</w:t>
      </w:r>
      <w:r/>
    </w:p>
    <w:p>
      <w:pPr>
        <w:ind w:firstLine="480"/>
        <w:spacing w:line="480" w:lineRule="exact"/>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2.1 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spacing w:line="480" w:lineRule="exact"/>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80"/>
        <w:spacing w:line="480" w:lineRule="exact"/>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2.2本项目政府采购活动中既有本国产品又有非本国产品参与竞争的，依法对本国产品给予价格评审优惠，对本国产品的报价给予20%的价格扣除，用扣除后的价格参与评审。</w:t>
      </w:r>
      <w:r/>
    </w:p>
    <w:p>
      <w:pPr>
        <w:ind w:firstLine="480"/>
        <w:spacing w:line="480" w:lineRule="exact"/>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2.3 当采购项目或者采购包中含有多种产品，供应商为该采购项目或者采购包提供的符合本国产品标准的产品成本之和占该供应商提供的全部产品成本之和的比例达到80%以上时（供应商需在“第六章 响应文件格式”的“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80"/>
        <w:spacing w:line="480" w:lineRule="exact"/>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2.4 供应商需按照招标文件的要求提供《关于符合本国产品标准的声明函》，如不提供将不享受本国产品价格评审优惠。</w:t>
      </w:r>
      <w:r/>
    </w:p>
    <w:p>
      <w:pPr>
        <w:ind w:firstLine="480"/>
        <w:spacing w:line="480" w:lineRule="exact"/>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2.5 供应商需在《关于符合本国产品标准的声明函》中逐一、准确填写产品名称、厂名、生产厂址三项信息（用斜线划除的地方无需填写），三项信息中任意一项未填写的视为该项产品不符合本国产品标准，不享受本国产品价格评审优惠。</w:t>
      </w:r>
      <w:r/>
    </w:p>
    <w:p>
      <w:pPr>
        <w:ind w:firstLine="480"/>
        <w:spacing w:line="480" w:lineRule="exact"/>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2.6 评标过程中，如发现供应商在《关于符合本国产品标准的声明函》内容含义不明确、同类事项与响应文件表述不一致或者有明显文字错误等情况的，评标委员会应当以书面形式要求供应商作出必要的澄清、说明或者补正。经澄清、说明或者补正的仍然不符合《国务院办公厅关于在政府采购中实施本国产品标准及相关政策的通知》（国办发〔2025〕34号）和招标文件规定的，供应商提供的相关产品视为不符合本国产品标准。</w:t>
      </w:r>
      <w:r/>
    </w:p>
    <w:p>
      <w:pPr>
        <w:ind w:firstLine="480"/>
        <w:spacing w:line="480" w:lineRule="exact"/>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3.节能产品、环境标志产品</w:t>
      </w:r>
      <w:r/>
    </w:p>
    <w:p>
      <w:pPr>
        <w:ind w:firstLine="480"/>
        <w:spacing w:line="480" w:lineRule="exact"/>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拟采购的产品属于品目清单范围的，采购人将依据国家确定的认证机构出具的、处于有效期之内的节能产品、环境标志产品认证证书，对获得证书的产品实施政府优先采购或强制采购。</w:t>
      </w:r>
      <w:r/>
    </w:p>
    <w:p>
      <w:pPr>
        <w:ind w:firstLine="480"/>
        <w:spacing w:line="480" w:lineRule="exact"/>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3.1拟采购的产品属于政府强制采购的节能产品品目清单范围的，供应商须提供国家确定的认证机构出具的、处于有效期之内的节能产品认证证书，否则其响应文件作无效标处理。</w:t>
      </w:r>
      <w:r/>
    </w:p>
    <w:p>
      <w:pPr>
        <w:ind w:firstLine="480"/>
        <w:spacing w:line="480" w:lineRule="exact"/>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3.2采购人拟采购的产品属于优先采购的节能产品、环境标志产品清单范围的，按以下条件优先采购：</w:t>
      </w:r>
      <w:r/>
    </w:p>
    <w:p>
      <w:pPr>
        <w:ind w:firstLine="480"/>
        <w:spacing w:line="480" w:lineRule="exact"/>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采用综合评分法的项目，对提供有效节能产品、环境标志证书产品的供应商加分。</w:t>
      </w:r>
      <w:r/>
    </w:p>
    <w:p>
      <w:pPr>
        <w:ind w:firstLine="480"/>
        <w:spacing w:line="480" w:lineRule="exact"/>
        <w:rPr>
          <w:rFonts w:hint="default"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采用最低评标价法的项目，同等条件下优先推荐提供有效节能产品、环境标志产品证书多的供应商为成交人。</w:t>
      </w:r>
      <w:r/>
    </w:p>
    <w:p>
      <w:pPr>
        <w:spacing w:line="5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br w:type="page" w:clear="all"/>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jc w:val="center"/>
        <w:keepNext/>
        <w:rPr>
          <w:rFonts w:hint="eastAsia" w:ascii="宋体" w:hAnsi="宋体" w:eastAsia="宋体" w:cs="宋体"/>
          <w:b/>
          <w:color w:val="auto"/>
          <w:sz w:val="44"/>
          <w:szCs w:val="28"/>
          <w:highlight w:val="none"/>
        </w:rPr>
        <w:outlineLvl w:val="0"/>
      </w:pPr>
      <w:r/>
      <w:bookmarkStart w:id="211" w:name="_Toc15813"/>
      <w:r>
        <w:rPr>
          <w:rFonts w:hint="eastAsia" w:ascii="宋体" w:hAnsi="宋体" w:eastAsia="宋体" w:cs="宋体"/>
          <w:b/>
          <w:color w:val="auto"/>
          <w:sz w:val="44"/>
          <w:szCs w:val="28"/>
          <w:highlight w:val="none"/>
        </w:rPr>
        <w:t xml:space="preserve">第六章</w:t>
      </w:r>
      <w:bookmarkEnd w:id="205"/>
      <w:r/>
      <w:bookmarkEnd w:id="206"/>
      <w:r/>
      <w:bookmarkEnd w:id="207"/>
      <w:r>
        <w:rPr>
          <w:rFonts w:hint="eastAsia" w:ascii="宋体" w:hAnsi="宋体" w:eastAsia="宋体" w:cs="宋体"/>
          <w:b/>
          <w:color w:val="auto"/>
          <w:sz w:val="44"/>
          <w:szCs w:val="28"/>
          <w:highlight w:val="none"/>
        </w:rPr>
        <w:t xml:space="preserve">  响应文件格式</w:t>
      </w:r>
      <w:bookmarkEnd w:id="211"/>
      <w:r/>
      <w:r/>
    </w:p>
    <w:p>
      <w:pPr>
        <w:jc w:val="center"/>
        <w:rPr>
          <w:rFonts w:hint="eastAsia" w:ascii="宋体" w:hAnsi="宋体" w:eastAsia="宋体" w:cs="宋体"/>
          <w:b/>
          <w:color w:val="auto"/>
          <w:sz w:val="72"/>
          <w:szCs w:val="21"/>
          <w:highlight w:val="none"/>
        </w:rPr>
      </w:pPr>
      <w:r/>
      <w:bookmarkStart w:id="212" w:name="_Hlt26671244"/>
      <w:r/>
      <w:bookmarkEnd w:id="212"/>
      <w:r/>
      <w:bookmarkStart w:id="213" w:name="_Hlt26955039"/>
      <w:r/>
      <w:bookmarkEnd w:id="213"/>
      <w:r/>
      <w:bookmarkStart w:id="214" w:name="_Toc120614282"/>
      <w:r/>
      <w:bookmarkStart w:id="215" w:name="_Toc26554094"/>
      <w:r/>
      <w:bookmarkStart w:id="216" w:name="_Toc49090576"/>
      <w:r/>
      <w:r/>
    </w:p>
    <w:p>
      <w:pPr>
        <w:jc w:val="center"/>
        <w:rPr>
          <w:rFonts w:hint="eastAsia" w:ascii="宋体" w:hAnsi="宋体" w:eastAsia="宋体" w:cs="宋体"/>
          <w:b/>
          <w:color w:val="auto"/>
          <w:sz w:val="72"/>
          <w:szCs w:val="21"/>
          <w:highlight w:val="none"/>
        </w:rPr>
      </w:pPr>
      <w:r>
        <w:rPr>
          <w:rFonts w:hint="eastAsia" w:ascii="宋体" w:hAnsi="宋体" w:eastAsia="宋体" w:cs="宋体"/>
          <w:b/>
          <w:color w:val="auto"/>
          <w:sz w:val="72"/>
          <w:szCs w:val="21"/>
          <w:highlight w:val="none"/>
        </w:rPr>
        <w:t xml:space="preserve">响应文件</w:t>
      </w:r>
      <w:r/>
    </w:p>
    <w:p>
      <w:pPr>
        <w:jc w:val="center"/>
        <w:rPr>
          <w:rFonts w:hint="eastAsia" w:ascii="宋体" w:hAnsi="宋体" w:eastAsia="宋体" w:cs="宋体"/>
          <w:b/>
          <w:color w:val="auto"/>
          <w:sz w:val="72"/>
          <w:szCs w:val="21"/>
          <w:highlight w:val="none"/>
        </w:rPr>
      </w:pPr>
      <w:r>
        <w:rPr>
          <w:rFonts w:hint="eastAsia" w:ascii="宋体" w:hAnsi="宋体" w:eastAsia="宋体" w:cs="宋体"/>
          <w:b/>
          <w:color w:val="auto"/>
          <w:sz w:val="72"/>
          <w:szCs w:val="21"/>
          <w:highlight w:val="none"/>
        </w:rPr>
      </w:r>
      <w:r/>
    </w:p>
    <w:p>
      <w:pPr>
        <w:jc w:val="center"/>
        <w:rPr>
          <w:rFonts w:hint="eastAsia" w:ascii="宋体" w:hAnsi="宋体" w:eastAsia="宋体" w:cs="宋体"/>
          <w:b/>
          <w:color w:val="auto"/>
          <w:sz w:val="72"/>
          <w:szCs w:val="21"/>
          <w:highlight w:val="none"/>
        </w:rPr>
      </w:pPr>
      <w:r>
        <w:rPr>
          <w:rFonts w:hint="eastAsia" w:ascii="宋体" w:hAnsi="宋体" w:eastAsia="宋体" w:cs="宋体"/>
          <w:b/>
          <w:color w:val="auto"/>
          <w:sz w:val="72"/>
          <w:szCs w:val="21"/>
          <w:highlight w:val="none"/>
        </w:rPr>
      </w:r>
      <w:r/>
    </w:p>
    <w:p>
      <w:pPr>
        <w:jc w:val="center"/>
        <w:rPr>
          <w:rFonts w:hint="eastAsia" w:ascii="宋体" w:hAnsi="宋体" w:eastAsia="宋体" w:cs="宋体"/>
          <w:b/>
          <w:color w:val="auto"/>
          <w:sz w:val="36"/>
          <w:szCs w:val="21"/>
          <w:highlight w:val="none"/>
        </w:rPr>
      </w:pPr>
      <w:r>
        <w:rPr>
          <w:rFonts w:hint="eastAsia" w:ascii="宋体" w:hAnsi="宋体" w:eastAsia="宋体" w:cs="宋体"/>
          <w:b/>
          <w:color w:val="auto"/>
          <w:sz w:val="36"/>
          <w:szCs w:val="21"/>
          <w:highlight w:val="none"/>
        </w:rPr>
      </w:r>
      <w:r/>
    </w:p>
    <w:p>
      <w:pPr>
        <w:jc w:val="center"/>
        <w:rPr>
          <w:rFonts w:hint="eastAsia" w:ascii="宋体" w:hAnsi="宋体" w:eastAsia="宋体" w:cs="宋体"/>
          <w:b/>
          <w:color w:val="auto"/>
          <w:sz w:val="36"/>
          <w:szCs w:val="21"/>
          <w:highlight w:val="none"/>
        </w:rPr>
      </w:pPr>
      <w:r>
        <w:rPr>
          <w:rFonts w:hint="eastAsia" w:ascii="宋体" w:hAnsi="宋体" w:eastAsia="宋体" w:cs="宋体"/>
          <w:b/>
          <w:color w:val="auto"/>
          <w:sz w:val="36"/>
          <w:szCs w:val="21"/>
          <w:highlight w:val="none"/>
        </w:rPr>
      </w:r>
      <w:r/>
    </w:p>
    <w:p>
      <w:pPr>
        <w:jc w:val="center"/>
        <w:rPr>
          <w:rFonts w:hint="eastAsia" w:ascii="宋体" w:hAnsi="宋体" w:eastAsia="宋体" w:cs="宋体"/>
          <w:b/>
          <w:color w:val="auto"/>
          <w:sz w:val="36"/>
          <w:szCs w:val="21"/>
          <w:highlight w:val="none"/>
        </w:rPr>
      </w:pPr>
      <w:r>
        <w:rPr>
          <w:rFonts w:hint="eastAsia" w:ascii="宋体" w:hAnsi="宋体" w:eastAsia="宋体" w:cs="宋体"/>
          <w:b/>
          <w:color w:val="auto"/>
          <w:sz w:val="36"/>
          <w:szCs w:val="21"/>
          <w:highlight w:val="none"/>
        </w:rPr>
      </w:r>
      <w:r/>
    </w:p>
    <w:p>
      <w:pPr>
        <w:ind w:left="840" w:firstLine="420"/>
        <w:rPr>
          <w:rFonts w:hint="eastAsia" w:ascii="宋体" w:hAnsi="宋体" w:eastAsia="宋体" w:cs="宋体"/>
          <w:b/>
          <w:color w:val="auto"/>
          <w:sz w:val="36"/>
          <w:highlight w:val="none"/>
          <w:u w:val="single"/>
          <w:lang w:val="en-US" w:eastAsia="zh-CN"/>
        </w:rPr>
      </w:pPr>
      <w:r>
        <w:rPr>
          <w:rFonts w:hint="eastAsia" w:ascii="宋体" w:hAnsi="宋体" w:eastAsia="宋体" w:cs="宋体"/>
          <w:b/>
          <w:color w:val="auto"/>
          <w:sz w:val="36"/>
          <w:highlight w:val="none"/>
        </w:rPr>
        <w:t xml:space="preserve">项目名称：</w:t>
      </w:r>
      <w:r>
        <w:rPr>
          <w:rFonts w:hint="eastAsia" w:ascii="宋体" w:hAnsi="宋体" w:eastAsia="宋体" w:cs="宋体"/>
          <w:b/>
          <w:color w:val="auto"/>
          <w:sz w:val="36"/>
          <w:highlight w:val="none"/>
          <w:u w:val="single"/>
          <w:lang w:val="en-US" w:eastAsia="zh-CN"/>
        </w:rPr>
        <w:t xml:space="preserve">                            </w:t>
      </w:r>
      <w:r/>
    </w:p>
    <w:p>
      <w:pPr>
        <w:ind w:left="840" w:firstLine="420"/>
        <w:rPr>
          <w:rFonts w:hint="eastAsia" w:ascii="宋体" w:hAnsi="宋体" w:eastAsia="宋体" w:cs="宋体"/>
          <w:b/>
          <w:color w:val="auto"/>
          <w:sz w:val="36"/>
          <w:highlight w:val="none"/>
          <w:u w:val="single"/>
          <w:lang w:val="en-US" w:eastAsia="zh-CN"/>
        </w:rPr>
      </w:pPr>
      <w:r>
        <w:rPr>
          <w:rFonts w:hint="eastAsia" w:ascii="宋体" w:hAnsi="宋体" w:eastAsia="宋体" w:cs="宋体"/>
          <w:b/>
          <w:color w:val="auto"/>
          <w:sz w:val="36"/>
          <w:highlight w:val="none"/>
        </w:rPr>
        <w:t xml:space="preserve">项目编号：</w:t>
      </w:r>
      <w:r>
        <w:rPr>
          <w:rFonts w:hint="eastAsia" w:ascii="宋体" w:hAnsi="宋体" w:eastAsia="宋体" w:cs="宋体"/>
          <w:b/>
          <w:color w:val="auto"/>
          <w:sz w:val="36"/>
          <w:highlight w:val="none"/>
          <w:u w:val="single"/>
          <w:lang w:val="en-US" w:eastAsia="zh-CN"/>
        </w:rPr>
        <w:t xml:space="preserve">                             </w:t>
      </w:r>
      <w:r/>
    </w:p>
    <w:p>
      <w:pPr>
        <w:ind w:left="840" w:firstLine="420"/>
        <w:rPr>
          <w:rFonts w:hint="eastAsia" w:ascii="宋体" w:hAnsi="宋体" w:eastAsia="宋体" w:cs="宋体"/>
          <w:b/>
          <w:color w:val="auto"/>
          <w:sz w:val="36"/>
          <w:highlight w:val="none"/>
          <w:u w:val="single"/>
        </w:rPr>
      </w:pPr>
      <w:r>
        <w:rPr>
          <w:rFonts w:hint="eastAsia" w:ascii="宋体" w:hAnsi="宋体" w:eastAsia="宋体" w:cs="宋体"/>
          <w:b/>
          <w:color w:val="auto"/>
          <w:sz w:val="36"/>
          <w:highlight w:val="none"/>
        </w:rPr>
        <w:t xml:space="preserve">供应商名称：</w:t>
      </w:r>
      <w:r>
        <w:rPr>
          <w:rFonts w:hint="eastAsia" w:ascii="宋体" w:hAnsi="宋体" w:eastAsia="宋体" w:cs="宋体"/>
          <w:b/>
          <w:color w:val="auto"/>
          <w:sz w:val="36"/>
          <w:highlight w:val="none"/>
          <w:u w:val="single"/>
        </w:rPr>
        <w:t xml:space="preserve">（加盖CA电子公章）</w:t>
      </w:r>
      <w:r/>
    </w:p>
    <w:p>
      <w:pPr>
        <w:ind w:left="840" w:firstLine="420"/>
        <w:rPr>
          <w:rFonts w:hint="eastAsia" w:ascii="宋体" w:hAnsi="宋体" w:eastAsia="宋体" w:cs="宋体"/>
          <w:b/>
          <w:color w:val="auto"/>
          <w:sz w:val="36"/>
          <w:highlight w:val="none"/>
          <w:u w:val="single"/>
        </w:rPr>
      </w:pPr>
      <w:r>
        <w:rPr>
          <w:rFonts w:hint="eastAsia" w:ascii="宋体" w:hAnsi="宋体" w:eastAsia="宋体" w:cs="宋体"/>
          <w:b/>
          <w:color w:val="auto"/>
          <w:sz w:val="36"/>
          <w:highlight w:val="none"/>
        </w:rPr>
        <w:t xml:space="preserve">日期：</w:t>
      </w:r>
      <w:r>
        <w:rPr>
          <w:rFonts w:hint="eastAsia" w:ascii="宋体" w:hAnsi="宋体" w:eastAsia="宋体" w:cs="宋体"/>
          <w:b/>
          <w:color w:val="auto"/>
          <w:sz w:val="36"/>
          <w:highlight w:val="none"/>
        </w:rPr>
        <w:tab/>
      </w:r>
      <w:r>
        <w:rPr>
          <w:rFonts w:hint="eastAsia" w:ascii="宋体" w:hAnsi="宋体" w:eastAsia="宋体" w:cs="宋体"/>
          <w:b/>
          <w:color w:val="auto"/>
          <w:sz w:val="36"/>
          <w:highlight w:val="none"/>
        </w:rPr>
        <w:tab/>
      </w:r>
      <w:r>
        <w:rPr>
          <w:rFonts w:hint="eastAsia" w:ascii="宋体" w:hAnsi="宋体" w:eastAsia="宋体" w:cs="宋体"/>
          <w:b/>
          <w:color w:val="auto"/>
          <w:sz w:val="36"/>
          <w:highlight w:val="none"/>
        </w:rPr>
        <w:t xml:space="preserve">年</w:t>
      </w:r>
      <w:r>
        <w:rPr>
          <w:rFonts w:hint="eastAsia" w:ascii="宋体" w:hAnsi="宋体" w:eastAsia="宋体" w:cs="宋体"/>
          <w:b/>
          <w:color w:val="auto"/>
          <w:sz w:val="36"/>
          <w:highlight w:val="none"/>
        </w:rPr>
        <w:tab/>
      </w:r>
      <w:r>
        <w:rPr>
          <w:rFonts w:hint="eastAsia" w:ascii="宋体" w:hAnsi="宋体" w:eastAsia="宋体" w:cs="宋体"/>
          <w:b/>
          <w:color w:val="auto"/>
          <w:sz w:val="36"/>
          <w:highlight w:val="none"/>
        </w:rPr>
        <w:tab/>
      </w:r>
      <w:r>
        <w:rPr>
          <w:rFonts w:hint="eastAsia" w:ascii="宋体" w:hAnsi="宋体" w:eastAsia="宋体" w:cs="宋体"/>
          <w:b/>
          <w:color w:val="auto"/>
          <w:sz w:val="36"/>
          <w:highlight w:val="none"/>
        </w:rPr>
        <w:t xml:space="preserve">月</w:t>
      </w:r>
      <w:r>
        <w:rPr>
          <w:rFonts w:hint="eastAsia" w:ascii="宋体" w:hAnsi="宋体" w:eastAsia="宋体" w:cs="宋体"/>
          <w:b/>
          <w:color w:val="auto"/>
          <w:sz w:val="36"/>
          <w:highlight w:val="none"/>
        </w:rPr>
        <w:tab/>
      </w:r>
      <w:r>
        <w:rPr>
          <w:rFonts w:hint="eastAsia" w:ascii="宋体" w:hAnsi="宋体" w:eastAsia="宋体" w:cs="宋体"/>
          <w:b/>
          <w:color w:val="auto"/>
          <w:sz w:val="36"/>
          <w:highlight w:val="none"/>
        </w:rPr>
        <w:tab/>
      </w:r>
      <w:r>
        <w:rPr>
          <w:rFonts w:hint="eastAsia" w:ascii="宋体" w:hAnsi="宋体" w:eastAsia="宋体" w:cs="宋体"/>
          <w:b/>
          <w:color w:val="auto"/>
          <w:sz w:val="36"/>
          <w:highlight w:val="none"/>
        </w:rPr>
        <w:t xml:space="preserve">日</w:t>
      </w:r>
      <w:r/>
    </w:p>
    <w:p>
      <w:pPr>
        <w:jc w:val="center"/>
        <w:spacing w:line="440" w:lineRule="exact"/>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ind w:firstLine="1084"/>
        <w:rPr>
          <w:rFonts w:hint="eastAsia" w:ascii="宋体" w:hAnsi="宋体" w:eastAsia="宋体" w:cs="宋体"/>
          <w:b/>
          <w:bCs/>
          <w:color w:val="auto"/>
          <w:sz w:val="32"/>
          <w:szCs w:val="32"/>
          <w:highlight w:val="none"/>
        </w:rPr>
      </w:pPr>
      <w:r>
        <w:rPr>
          <w:rFonts w:hint="eastAsia" w:ascii="宋体" w:hAnsi="宋体" w:eastAsia="宋体" w:cs="宋体"/>
          <w:b/>
          <w:color w:val="auto"/>
          <w:sz w:val="36"/>
          <w:szCs w:val="21"/>
          <w:highlight w:val="none"/>
          <w:u w:val="single"/>
        </w:rPr>
        <w:br w:type="page" w:clear="all"/>
      </w:r>
      <w:r/>
    </w:p>
    <w:p>
      <w:pPr>
        <w:jc w:val="center"/>
        <w:spacing w:line="440" w:lineRule="exact"/>
        <w:rPr>
          <w:rFonts w:hint="eastAsia" w:ascii="宋体" w:hAnsi="宋体" w:eastAsia="宋体" w:cs="宋体"/>
          <w:b/>
          <w:bCs/>
          <w:color w:val="auto"/>
          <w:sz w:val="32"/>
          <w:szCs w:val="32"/>
          <w:highlight w:val="none"/>
        </w:rPr>
        <w:outlineLvl w:val="1"/>
      </w:pPr>
      <w:r/>
      <w:bookmarkStart w:id="217" w:name="_Toc6957"/>
      <w:r>
        <w:rPr>
          <w:rFonts w:hint="eastAsia" w:ascii="宋体" w:hAnsi="宋体" w:eastAsia="宋体" w:cs="宋体"/>
          <w:b/>
          <w:bCs/>
          <w:color w:val="auto"/>
          <w:sz w:val="32"/>
          <w:szCs w:val="32"/>
          <w:highlight w:val="none"/>
        </w:rPr>
        <w:t xml:space="preserve">响应文件目录</w:t>
      </w:r>
      <w:bookmarkEnd w:id="217"/>
      <w:r/>
      <w:r/>
    </w:p>
    <w:p>
      <w:pPr>
        <w:jc w:val="center"/>
        <w:spacing w:line="440" w:lineRule="exact"/>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numPr>
          <w:ilvl w:val="0"/>
          <w:numId w:val="0"/>
        </w:numPr>
        <w:ind w:firstLine="480"/>
        <w:spacing w:line="440"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lang w:val="en-US" w:eastAsia="zh-CN" w:bidi="ar-SA"/>
        </w:rPr>
        <w:t xml:space="preserve">二、</w:t>
      </w:r>
      <w:r>
        <w:rPr>
          <w:rFonts w:hint="eastAsia" w:ascii="宋体" w:hAnsi="宋体" w:eastAsia="宋体" w:cs="宋体"/>
          <w:color w:val="auto"/>
          <w:sz w:val="24"/>
          <w:szCs w:val="21"/>
          <w:highlight w:val="none"/>
          <w:lang w:eastAsia="zh-CN"/>
        </w:rPr>
        <w:t xml:space="preserve">响应声明及承诺函</w:t>
      </w:r>
      <w:r/>
    </w:p>
    <w:p>
      <w:pPr>
        <w:numPr>
          <w:ilvl w:val="0"/>
          <w:numId w:val="0"/>
        </w:numPr>
        <w:ind w:firstLine="480"/>
        <w:spacing w:line="440"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lang w:val="en-US" w:eastAsia="zh-CN" w:bidi="ar-SA"/>
        </w:rPr>
        <w:t xml:space="preserve">三、</w:t>
      </w:r>
      <w:r>
        <w:rPr>
          <w:rFonts w:hint="eastAsia" w:ascii="宋体" w:hAnsi="宋体" w:eastAsia="宋体" w:cs="宋体"/>
          <w:color w:val="auto"/>
          <w:sz w:val="24"/>
          <w:szCs w:val="21"/>
          <w:highlight w:val="none"/>
        </w:rPr>
        <w:t xml:space="preserve">供应商基本信息</w:t>
      </w:r>
      <w:r/>
    </w:p>
    <w:p>
      <w:pPr>
        <w:numPr>
          <w:ilvl w:val="0"/>
          <w:numId w:val="0"/>
        </w:numPr>
        <w:ind w:firstLine="480"/>
        <w:spacing w:line="440"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lang w:val="en-US" w:eastAsia="zh-CN" w:bidi="ar-SA"/>
        </w:rPr>
        <w:t xml:space="preserve">四、</w:t>
      </w:r>
      <w:r>
        <w:rPr>
          <w:rFonts w:hint="eastAsia" w:ascii="宋体" w:hAnsi="宋体" w:eastAsia="宋体" w:cs="宋体"/>
          <w:color w:val="auto"/>
          <w:sz w:val="24"/>
          <w:szCs w:val="21"/>
          <w:highlight w:val="none"/>
        </w:rPr>
        <w:t xml:space="preserve">特定资格要求的证明文件</w:t>
      </w:r>
      <w:r/>
    </w:p>
    <w:p>
      <w:pPr>
        <w:numPr>
          <w:ilvl w:val="0"/>
          <w:numId w:val="0"/>
        </w:numPr>
        <w:ind w:firstLine="480"/>
        <w:spacing w:line="440"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lang w:val="en-US" w:eastAsia="zh-CN" w:bidi="ar-SA"/>
        </w:rPr>
        <w:t xml:space="preserve">五、</w:t>
      </w:r>
      <w:r>
        <w:rPr>
          <w:rFonts w:hint="eastAsia" w:ascii="宋体" w:hAnsi="宋体" w:eastAsia="宋体" w:cs="宋体"/>
          <w:color w:val="auto"/>
          <w:sz w:val="24"/>
          <w:szCs w:val="21"/>
          <w:highlight w:val="none"/>
        </w:rPr>
        <w:t xml:space="preserve">法人授权书</w:t>
      </w:r>
      <w:r/>
    </w:p>
    <w:p>
      <w:pPr>
        <w:ind w:firstLine="480"/>
        <w:spacing w:line="440"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五、中小企业声明函</w:t>
      </w:r>
      <w:r/>
    </w:p>
    <w:p>
      <w:pPr>
        <w:ind w:firstLine="480"/>
        <w:spacing w:line="440"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六、报价一览表</w:t>
      </w:r>
      <w:r/>
    </w:p>
    <w:p>
      <w:pPr>
        <w:ind w:firstLine="480"/>
        <w:spacing w:line="440"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七、分项报价表</w:t>
      </w:r>
      <w:r/>
    </w:p>
    <w:p>
      <w:pPr>
        <w:ind w:firstLine="480"/>
        <w:spacing w:line="440"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八、响应及偏离表</w:t>
      </w:r>
      <w:r/>
    </w:p>
    <w:p>
      <w:pPr>
        <w:ind w:firstLine="480"/>
        <w:spacing w:line="440"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九、项目组人员</w:t>
      </w:r>
      <w:r/>
    </w:p>
    <w:p>
      <w:pPr>
        <w:ind w:firstLine="480"/>
        <w:spacing w:line="440"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十、企业业绩</w:t>
      </w:r>
      <w:r/>
    </w:p>
    <w:p>
      <w:pPr>
        <w:ind w:firstLine="480"/>
        <w:spacing w:line="440"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十一、磋商所需其他材料</w:t>
      </w:r>
      <w:r/>
    </w:p>
    <w:p>
      <w:pPr>
        <w:ind w:firstLine="480"/>
        <w:spacing w:line="440"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十二、质疑函范本</w:t>
      </w:r>
      <w:r/>
    </w:p>
    <w:p>
      <w:pPr>
        <w:ind w:firstLine="480"/>
        <w:spacing w:line="440"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p>
      <w:pPr>
        <w:ind w:firstLine="480"/>
        <w:spacing w:line="440"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p>
      <w:pPr>
        <w:ind w:firstLine="480"/>
        <w:spacing w:line="440"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p>
      <w:pPr>
        <w:ind w:firstLine="480"/>
        <w:spacing w:line="440"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p>
      <w:pPr>
        <w:ind w:firstLine="480"/>
        <w:spacing w:line="440"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p>
      <w:pPr>
        <w:rPr>
          <w:rFonts w:hint="eastAsia" w:ascii="宋体" w:hAnsi="宋体" w:eastAsia="宋体" w:cs="宋体"/>
          <w:b/>
          <w:iCs/>
          <w:color w:val="auto"/>
          <w:sz w:val="32"/>
          <w:szCs w:val="32"/>
          <w:highlight w:val="none"/>
        </w:rPr>
      </w:pPr>
      <w:r>
        <w:rPr>
          <w:rFonts w:hint="eastAsia" w:ascii="宋体" w:hAnsi="宋体" w:eastAsia="宋体" w:cs="宋体"/>
          <w:b/>
          <w:iCs/>
          <w:color w:val="auto"/>
          <w:sz w:val="32"/>
          <w:szCs w:val="32"/>
          <w:highlight w:val="none"/>
        </w:rPr>
        <w:br w:type="page" w:clear="all"/>
      </w:r>
      <w:r/>
    </w:p>
    <w:p>
      <w:pPr>
        <w:rPr>
          <w:rFonts w:hint="eastAsia" w:ascii="宋体" w:hAnsi="宋体" w:eastAsia="宋体" w:cs="宋体"/>
          <w:b/>
          <w:iCs/>
          <w:color w:val="auto"/>
          <w:sz w:val="32"/>
          <w:szCs w:val="32"/>
          <w:highlight w:val="none"/>
        </w:rPr>
        <w:outlineLvl w:val="1"/>
      </w:pPr>
      <w:r/>
      <w:bookmarkStart w:id="218" w:name="_Toc11628"/>
      <w:r>
        <w:rPr>
          <w:rFonts w:hint="eastAsia" w:ascii="宋体" w:hAnsi="宋体" w:eastAsia="宋体" w:cs="宋体"/>
          <w:b/>
          <w:iCs/>
          <w:color w:val="auto"/>
          <w:sz w:val="32"/>
          <w:szCs w:val="32"/>
          <w:highlight w:val="none"/>
        </w:rPr>
        <w:t xml:space="preserve">一、</w:t>
      </w:r>
      <w:r>
        <w:rPr>
          <w:rFonts w:hint="eastAsia" w:ascii="宋体" w:hAnsi="宋体" w:eastAsia="宋体" w:cs="宋体"/>
          <w:b/>
          <w:iCs/>
          <w:color w:val="auto"/>
          <w:sz w:val="32"/>
          <w:szCs w:val="32"/>
          <w:highlight w:val="none"/>
          <w:lang w:eastAsia="zh-CN"/>
        </w:rPr>
        <w:t xml:space="preserve">响应声明及承诺函</w:t>
      </w:r>
      <w:bookmarkEnd w:id="218"/>
      <w:r/>
      <w:r/>
    </w:p>
    <w:p>
      <w:pPr>
        <w:jc w:val="cente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 xml:space="preserve">响应声明及承诺函</w:t>
      </w:r>
      <w:r/>
    </w:p>
    <w:p>
      <w:pPr>
        <w:pStyle w:val="1072"/>
        <w:jc w:val="left"/>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lang w:eastAsia="zh-CN"/>
        </w:rPr>
        <w:t xml:space="preserve">宿迁市生态环境局</w:t>
      </w:r>
      <w:r>
        <w:rPr>
          <w:rFonts w:hint="eastAsia" w:ascii="宋体" w:hAnsi="宋体" w:eastAsia="宋体" w:cs="宋体"/>
          <w:color w:val="auto"/>
          <w:sz w:val="24"/>
          <w:szCs w:val="24"/>
          <w:highlight w:val="none"/>
        </w:rPr>
        <w:t xml:space="preserve">：</w:t>
      </w:r>
      <w:r/>
    </w:p>
    <w:p>
      <w:pPr>
        <w:pStyle w:val="1072"/>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根据已收到的项目编号为</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项目的竞争性磋商文件，我单位在参加本项目竞争性磋商活动中，特做出如下承诺：</w:t>
      </w:r>
      <w:r/>
    </w:p>
    <w:p>
      <w:pPr>
        <w:pStyle w:val="1072"/>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一、我方</w:t>
      </w:r>
      <w:r>
        <w:rPr>
          <w:rFonts w:hint="eastAsia" w:ascii="宋体" w:hAnsi="宋体" w:eastAsia="宋体" w:cs="宋体"/>
          <w:color w:val="auto"/>
          <w:sz w:val="24"/>
          <w:highlight w:val="none"/>
        </w:rPr>
        <w:t xml:space="preserve">具备《中华人民共和国政府采购法》第二十二条第一款规定的6项条件；</w:t>
      </w:r>
      <w:r/>
    </w:p>
    <w:p>
      <w:pPr>
        <w:pStyle w:val="1072"/>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二、我方在参加政府采购活动前三年内（自本项目磋商时间之日起计算），在经营活动中没有重大违法记录（指因违法经营受到刑事处罚或者责令停产停业、吊销许可证或者执照、较大数额罚款等行政处罚）。</w:t>
      </w:r>
      <w:r/>
    </w:p>
    <w:p>
      <w:pPr>
        <w:pStyle w:val="1072"/>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三、我方按磋商文件要求提交响应文件，响应磋商文件规定的响应有效期；</w:t>
      </w:r>
      <w:r/>
    </w:p>
    <w:p>
      <w:pPr>
        <w:pStyle w:val="1072"/>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四、如果我方的响应文件被接受，我方将按《中华人民共和国民法典（第三编合同）》及其他有关法律、法规的规定，按期、按质、按量交付采购单位，全面做到履约守信；</w:t>
      </w:r>
      <w:r/>
    </w:p>
    <w:p>
      <w:pPr>
        <w:pStyle w:val="1072"/>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五、我方若违背本声明及承诺约定，经查实，自愿接受采购人及相关主管部门相应的规定处理，并依法承担相应的法律责任。</w:t>
      </w:r>
      <w:r/>
    </w:p>
    <w:p>
      <w:pPr>
        <w:pStyle w:val="1072"/>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六、我方同意采购人、采购代理机构将本声明及承诺函上网公开。</w:t>
      </w:r>
      <w:r/>
    </w:p>
    <w:p>
      <w:pPr>
        <w:pStyle w:val="1072"/>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072"/>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072"/>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供应商名称：（加盖CA电子公章）</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w:t>
      </w:r>
      <w:r>
        <w:rPr>
          <w:rFonts w:hint="eastAsia" w:ascii="宋体" w:hAnsi="宋体" w:eastAsia="宋体" w:cs="宋体"/>
          <w:color w:val="auto"/>
          <w:sz w:val="24"/>
          <w:szCs w:val="24"/>
          <w:highlight w:val="none"/>
          <w:lang w:val="en-US" w:eastAsia="zh-CN"/>
        </w:rPr>
        <w:tab/>
      </w:r>
      <w:r>
        <w:rPr>
          <w:rFonts w:hint="eastAsia" w:ascii="宋体" w:hAnsi="宋体" w:eastAsia="宋体" w:cs="宋体"/>
          <w:color w:val="auto"/>
          <w:sz w:val="24"/>
          <w:szCs w:val="24"/>
          <w:highlight w:val="none"/>
          <w:lang w:val="en-US" w:eastAsia="zh-CN"/>
        </w:rPr>
        <w:tab/>
      </w: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lang w:val="en-US" w:eastAsia="zh-CN"/>
        </w:rPr>
        <w:tab/>
      </w:r>
      <w:r>
        <w:rPr>
          <w:rFonts w:hint="eastAsia" w:ascii="宋体" w:hAnsi="宋体" w:eastAsia="宋体" w:cs="宋体"/>
          <w:color w:val="auto"/>
          <w:sz w:val="24"/>
          <w:szCs w:val="24"/>
          <w:highlight w:val="none"/>
          <w:lang w:val="en-US" w:eastAsia="zh-CN"/>
        </w:rPr>
        <w:tab/>
      </w:r>
      <w:r>
        <w:rPr>
          <w:rFonts w:hint="eastAsia" w:ascii="宋体" w:hAnsi="宋体" w:eastAsia="宋体" w:cs="宋体"/>
          <w:color w:val="auto"/>
          <w:sz w:val="24"/>
          <w:szCs w:val="24"/>
          <w:highlight w:val="none"/>
        </w:rPr>
        <w:t xml:space="preserve">月</w:t>
      </w:r>
      <w:r>
        <w:rPr>
          <w:rFonts w:hint="eastAsia" w:ascii="宋体" w:hAnsi="宋体" w:eastAsia="宋体" w:cs="宋体"/>
          <w:color w:val="auto"/>
          <w:sz w:val="24"/>
          <w:szCs w:val="24"/>
          <w:highlight w:val="none"/>
          <w:lang w:val="en-US" w:eastAsia="zh-CN"/>
        </w:rPr>
        <w:tab/>
      </w:r>
      <w:r>
        <w:rPr>
          <w:rFonts w:hint="eastAsia" w:ascii="宋体" w:hAnsi="宋体" w:eastAsia="宋体" w:cs="宋体"/>
          <w:color w:val="auto"/>
          <w:sz w:val="24"/>
          <w:szCs w:val="24"/>
          <w:highlight w:val="none"/>
          <w:lang w:val="en-US" w:eastAsia="zh-CN"/>
        </w:rPr>
        <w:tab/>
      </w:r>
      <w:r>
        <w:rPr>
          <w:rFonts w:hint="eastAsia" w:ascii="宋体" w:hAnsi="宋体" w:eastAsia="宋体" w:cs="宋体"/>
          <w:color w:val="auto"/>
          <w:sz w:val="24"/>
          <w:szCs w:val="24"/>
          <w:highlight w:val="none"/>
        </w:rPr>
        <w:t xml:space="preserve">日</w:t>
      </w:r>
      <w:bookmarkEnd w:id="214"/>
      <w:r/>
      <w:bookmarkEnd w:id="215"/>
      <w:r/>
      <w:bookmarkEnd w:id="216"/>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089"/>
        <w:rPr>
          <w:rFonts w:hint="eastAsia" w:ascii="宋体" w:hAnsi="宋体" w:eastAsia="宋体" w:cs="宋体"/>
          <w:color w:val="auto"/>
          <w:highlight w:val="none"/>
        </w:rPr>
        <w:outlineLvl w:val="1"/>
      </w:pPr>
      <w:r/>
      <w:bookmarkStart w:id="219" w:name="_Toc27399"/>
      <w:r/>
      <w:bookmarkStart w:id="220" w:name="_Toc120614284"/>
      <w:r>
        <w:rPr>
          <w:rFonts w:hint="eastAsia" w:ascii="宋体" w:hAnsi="宋体" w:eastAsia="宋体" w:cs="宋体"/>
          <w:iCs/>
          <w:color w:val="auto"/>
          <w:szCs w:val="32"/>
          <w:highlight w:val="none"/>
        </w:rPr>
        <w:br w:type="page" w:clear="all"/>
      </w:r>
      <w:bookmarkStart w:id="221" w:name="_Toc27646"/>
      <w:r>
        <w:rPr>
          <w:rFonts w:hint="eastAsia" w:ascii="宋体" w:hAnsi="宋体" w:eastAsia="宋体" w:cs="宋体"/>
          <w:iCs/>
          <w:color w:val="auto"/>
          <w:szCs w:val="32"/>
          <w:highlight w:val="none"/>
        </w:rPr>
        <w:t xml:space="preserve">二、供应商基本信息</w:t>
      </w:r>
      <w:bookmarkEnd w:id="219"/>
      <w:r/>
      <w:bookmarkEnd w:id="221"/>
      <w:r/>
      <w:r/>
    </w:p>
    <w:p>
      <w:pPr>
        <w:pStyle w:val="1072"/>
        <w:jc w:val="cente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供应商基本情况表</w:t>
      </w:r>
      <w:r/>
    </w:p>
    <w:tbl>
      <w:tblPr>
        <w:tblStyle w:val="735"/>
        <w:tblW w:w="852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26"/>
        <w:gridCol w:w="3118"/>
        <w:gridCol w:w="1276"/>
        <w:gridCol w:w="2604"/>
      </w:tblGrid>
      <w:tr>
        <w:trPr>
          <w:jc w:val="center"/>
        </w:trPr>
        <w:tc>
          <w:tcPr>
            <w:tcW w:w="1526" w:type="dxa"/>
            <w:vAlign w:val="center"/>
            <w:textDirection w:val="lrTb"/>
            <w:noWrap w:val="false"/>
          </w:tcPr>
          <w:p>
            <w:pPr>
              <w:pStyle w:val="1090"/>
              <w:jc w:val="center"/>
              <w:spacing w:line="6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供应商名称</w:t>
            </w:r>
            <w:r/>
          </w:p>
        </w:tc>
        <w:tc>
          <w:tcPr>
            <w:gridSpan w:val="3"/>
            <w:tcW w:w="6998" w:type="dxa"/>
            <w:vAlign w:val="center"/>
            <w:textDirection w:val="lrTb"/>
            <w:noWrap w:val="false"/>
          </w:tcPr>
          <w:p>
            <w:pPr>
              <w:pStyle w:val="1090"/>
              <w:jc w:val="center"/>
              <w:spacing w:line="6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Pr>
        <w:tc>
          <w:tcPr>
            <w:tcW w:w="1526" w:type="dxa"/>
            <w:vAlign w:val="center"/>
            <w:textDirection w:val="lrTb"/>
            <w:noWrap w:val="false"/>
          </w:tcPr>
          <w:p>
            <w:pPr>
              <w:pStyle w:val="1090"/>
              <w:jc w:val="center"/>
              <w:spacing w:line="6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w:t>
            </w:r>
            <w:r/>
          </w:p>
        </w:tc>
        <w:tc>
          <w:tcPr>
            <w:tcW w:w="3118" w:type="dxa"/>
            <w:vAlign w:val="center"/>
            <w:textDirection w:val="lrTb"/>
            <w:noWrap w:val="false"/>
          </w:tcPr>
          <w:p>
            <w:pPr>
              <w:pStyle w:val="1090"/>
              <w:jc w:val="center"/>
              <w:spacing w:line="6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76" w:type="dxa"/>
            <w:vAlign w:val="center"/>
            <w:textDirection w:val="lrTb"/>
            <w:noWrap w:val="false"/>
          </w:tcPr>
          <w:p>
            <w:pPr>
              <w:pStyle w:val="1090"/>
              <w:jc w:val="center"/>
              <w:spacing w:line="6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注册地区</w:t>
            </w:r>
            <w:r/>
          </w:p>
        </w:tc>
        <w:tc>
          <w:tcPr>
            <w:tcW w:w="2604" w:type="dxa"/>
            <w:vAlign w:val="center"/>
            <w:textDirection w:val="lrTb"/>
            <w:noWrap w:val="false"/>
          </w:tcPr>
          <w:p>
            <w:pPr>
              <w:pStyle w:val="1090"/>
              <w:jc w:val="center"/>
              <w:spacing w:line="6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Pr>
        <w:tc>
          <w:tcPr>
            <w:tcW w:w="1526" w:type="dxa"/>
            <w:vAlign w:val="center"/>
            <w:textDirection w:val="lrTb"/>
            <w:noWrap w:val="false"/>
          </w:tcPr>
          <w:p>
            <w:pPr>
              <w:pStyle w:val="1090"/>
              <w:jc w:val="center"/>
              <w:spacing w:line="6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地址</w:t>
            </w:r>
            <w:r/>
          </w:p>
        </w:tc>
        <w:tc>
          <w:tcPr>
            <w:tcW w:w="3118" w:type="dxa"/>
            <w:vAlign w:val="center"/>
            <w:textDirection w:val="lrTb"/>
            <w:noWrap w:val="false"/>
          </w:tcPr>
          <w:p>
            <w:pPr>
              <w:pStyle w:val="1090"/>
              <w:jc w:val="center"/>
              <w:spacing w:line="6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76" w:type="dxa"/>
            <w:vAlign w:val="center"/>
            <w:textDirection w:val="lrTb"/>
            <w:noWrap w:val="false"/>
          </w:tcPr>
          <w:p>
            <w:pPr>
              <w:pStyle w:val="1090"/>
              <w:jc w:val="center"/>
              <w:spacing w:line="6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邮政编码</w:t>
            </w:r>
            <w:r/>
          </w:p>
        </w:tc>
        <w:tc>
          <w:tcPr>
            <w:tcW w:w="2604" w:type="dxa"/>
            <w:vAlign w:val="center"/>
            <w:textDirection w:val="lrTb"/>
            <w:noWrap w:val="false"/>
          </w:tcPr>
          <w:p>
            <w:pPr>
              <w:pStyle w:val="1090"/>
              <w:jc w:val="center"/>
              <w:spacing w:line="6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Pr>
        <w:tc>
          <w:tcPr>
            <w:tcW w:w="1526" w:type="dxa"/>
            <w:vAlign w:val="center"/>
            <w:textDirection w:val="lrTb"/>
            <w:noWrap w:val="false"/>
          </w:tcPr>
          <w:p>
            <w:pPr>
              <w:pStyle w:val="1090"/>
              <w:jc w:val="center"/>
              <w:spacing w:line="6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成立时间</w:t>
            </w:r>
            <w:r/>
          </w:p>
        </w:tc>
        <w:tc>
          <w:tcPr>
            <w:tcW w:w="3118" w:type="dxa"/>
            <w:vAlign w:val="center"/>
            <w:textDirection w:val="lrTb"/>
            <w:noWrap w:val="false"/>
          </w:tcPr>
          <w:p>
            <w:pPr>
              <w:pStyle w:val="1090"/>
              <w:jc w:val="center"/>
              <w:spacing w:line="6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76" w:type="dxa"/>
            <w:vAlign w:val="center"/>
            <w:textDirection w:val="lrTb"/>
            <w:noWrap w:val="false"/>
          </w:tcPr>
          <w:p>
            <w:pPr>
              <w:pStyle w:val="1090"/>
              <w:jc w:val="center"/>
              <w:spacing w:line="6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单位性质</w:t>
            </w:r>
            <w:r/>
          </w:p>
        </w:tc>
        <w:tc>
          <w:tcPr>
            <w:tcW w:w="2604" w:type="dxa"/>
            <w:vAlign w:val="center"/>
            <w:textDirection w:val="lrTb"/>
            <w:noWrap w:val="false"/>
          </w:tcPr>
          <w:p>
            <w:pPr>
              <w:pStyle w:val="1090"/>
              <w:jc w:val="center"/>
              <w:spacing w:line="6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Pr>
        <w:tc>
          <w:tcPr>
            <w:tcW w:w="1526" w:type="dxa"/>
            <w:vAlign w:val="center"/>
            <w:textDirection w:val="lrTb"/>
            <w:noWrap w:val="false"/>
          </w:tcPr>
          <w:p>
            <w:pPr>
              <w:pStyle w:val="1090"/>
              <w:jc w:val="center"/>
              <w:spacing w:line="6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注册号或社会信用代码</w:t>
            </w:r>
            <w:r/>
          </w:p>
        </w:tc>
        <w:tc>
          <w:tcPr>
            <w:tcW w:w="3118" w:type="dxa"/>
            <w:vAlign w:val="center"/>
            <w:textDirection w:val="lrTb"/>
            <w:noWrap w:val="false"/>
          </w:tcPr>
          <w:p>
            <w:pPr>
              <w:pStyle w:val="1090"/>
              <w:jc w:val="center"/>
              <w:spacing w:line="6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76" w:type="dxa"/>
            <w:vAlign w:val="center"/>
            <w:textDirection w:val="lrTb"/>
            <w:noWrap w:val="false"/>
          </w:tcPr>
          <w:p>
            <w:pPr>
              <w:pStyle w:val="1090"/>
              <w:jc w:val="center"/>
              <w:spacing w:line="6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注册资本（万元）</w:t>
            </w:r>
            <w:r/>
          </w:p>
        </w:tc>
        <w:tc>
          <w:tcPr>
            <w:tcW w:w="2604" w:type="dxa"/>
            <w:vAlign w:val="center"/>
            <w:textDirection w:val="lrTb"/>
            <w:noWrap w:val="false"/>
          </w:tcPr>
          <w:p>
            <w:pPr>
              <w:pStyle w:val="1090"/>
              <w:jc w:val="center"/>
              <w:spacing w:line="6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Pr>
        <w:tc>
          <w:tcPr>
            <w:tcW w:w="1526" w:type="dxa"/>
            <w:vAlign w:val="center"/>
            <w:textDirection w:val="lrTb"/>
            <w:noWrap w:val="false"/>
          </w:tcPr>
          <w:p>
            <w:pPr>
              <w:pStyle w:val="1090"/>
              <w:jc w:val="center"/>
              <w:spacing w:line="6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供应商类别</w:t>
            </w:r>
            <w:r/>
          </w:p>
        </w:tc>
        <w:tc>
          <w:tcPr>
            <w:gridSpan w:val="3"/>
            <w:tcW w:w="6998" w:type="dxa"/>
            <w:vAlign w:val="center"/>
            <w:textDirection w:val="lrTb"/>
            <w:noWrap w:val="false"/>
          </w:tcPr>
          <w:p>
            <w:pPr>
              <w:pStyle w:val="1090"/>
              <w:jc w:val="center"/>
              <w:spacing w:line="6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Pr>
        <w:tc>
          <w:tcPr>
            <w:tcW w:w="1526" w:type="dxa"/>
            <w:vAlign w:val="center"/>
            <w:textDirection w:val="lrTb"/>
            <w:noWrap w:val="false"/>
          </w:tcPr>
          <w:p>
            <w:pPr>
              <w:pStyle w:val="1090"/>
              <w:jc w:val="center"/>
              <w:spacing w:line="6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开户银行</w:t>
            </w:r>
            <w:r/>
          </w:p>
        </w:tc>
        <w:tc>
          <w:tcPr>
            <w:tcW w:w="3118" w:type="dxa"/>
            <w:vAlign w:val="center"/>
            <w:textDirection w:val="lrTb"/>
            <w:noWrap w:val="false"/>
          </w:tcPr>
          <w:p>
            <w:pPr>
              <w:pStyle w:val="1090"/>
              <w:jc w:val="center"/>
              <w:spacing w:line="6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76" w:type="dxa"/>
            <w:vAlign w:val="center"/>
            <w:textDirection w:val="lrTb"/>
            <w:noWrap w:val="false"/>
          </w:tcPr>
          <w:p>
            <w:pPr>
              <w:pStyle w:val="1090"/>
              <w:jc w:val="center"/>
              <w:spacing w:line="6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账号</w:t>
            </w:r>
            <w:r/>
          </w:p>
        </w:tc>
        <w:tc>
          <w:tcPr>
            <w:tcW w:w="2604" w:type="dxa"/>
            <w:vAlign w:val="center"/>
            <w:textDirection w:val="lrTb"/>
            <w:noWrap w:val="false"/>
          </w:tcPr>
          <w:p>
            <w:pPr>
              <w:pStyle w:val="1090"/>
              <w:jc w:val="center"/>
              <w:spacing w:line="6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Pr>
        <w:tc>
          <w:tcPr>
            <w:tcW w:w="1526" w:type="dxa"/>
            <w:vAlign w:val="center"/>
            <w:textDirection w:val="lrTb"/>
            <w:noWrap w:val="false"/>
          </w:tcPr>
          <w:p>
            <w:pPr>
              <w:pStyle w:val="1090"/>
              <w:jc w:val="center"/>
              <w:spacing w:line="6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联系人</w:t>
            </w:r>
            <w:r/>
          </w:p>
        </w:tc>
        <w:tc>
          <w:tcPr>
            <w:tcW w:w="3118" w:type="dxa"/>
            <w:vAlign w:val="center"/>
            <w:textDirection w:val="lrTb"/>
            <w:noWrap w:val="false"/>
          </w:tcPr>
          <w:p>
            <w:pPr>
              <w:pStyle w:val="1090"/>
              <w:jc w:val="center"/>
              <w:spacing w:line="6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76" w:type="dxa"/>
            <w:vAlign w:val="center"/>
            <w:textDirection w:val="lrTb"/>
            <w:noWrap w:val="false"/>
          </w:tcPr>
          <w:p>
            <w:pPr>
              <w:pStyle w:val="1090"/>
              <w:jc w:val="center"/>
              <w:spacing w:line="6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联系电话</w:t>
            </w:r>
            <w:r/>
          </w:p>
        </w:tc>
        <w:tc>
          <w:tcPr>
            <w:tcW w:w="2604" w:type="dxa"/>
            <w:vAlign w:val="center"/>
            <w:textDirection w:val="lrTb"/>
            <w:noWrap w:val="false"/>
          </w:tcPr>
          <w:p>
            <w:pPr>
              <w:pStyle w:val="1090"/>
              <w:jc w:val="center"/>
              <w:spacing w:line="6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2376"/>
        </w:trPr>
        <w:tc>
          <w:tcPr>
            <w:tcW w:w="1526" w:type="dxa"/>
            <w:vAlign w:val="center"/>
            <w:textDirection w:val="lrTb"/>
            <w:noWrap w:val="false"/>
          </w:tcPr>
          <w:p>
            <w:pPr>
              <w:pStyle w:val="1090"/>
              <w:jc w:val="center"/>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经营范围</w:t>
            </w:r>
            <w:r/>
          </w:p>
        </w:tc>
        <w:tc>
          <w:tcPr>
            <w:gridSpan w:val="3"/>
            <w:tcW w:w="6998" w:type="dxa"/>
            <w:textDirection w:val="lrTb"/>
            <w:noWrap w:val="false"/>
          </w:tcPr>
          <w:p>
            <w:pPr>
              <w:pStyle w:val="1090"/>
              <w:ind w:firstLine="1433"/>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1134"/>
        </w:trPr>
        <w:tc>
          <w:tcPr>
            <w:tcW w:w="1526" w:type="dxa"/>
            <w:vAlign w:val="center"/>
            <w:textDirection w:val="lrTb"/>
            <w:noWrap w:val="false"/>
          </w:tcPr>
          <w:p>
            <w:pPr>
              <w:pStyle w:val="1090"/>
              <w:jc w:val="center"/>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备注</w:t>
            </w:r>
            <w:r/>
          </w:p>
        </w:tc>
        <w:tc>
          <w:tcPr>
            <w:gridSpan w:val="3"/>
            <w:tcW w:w="6998" w:type="dxa"/>
            <w:vAlign w:val="center"/>
            <w:textDirection w:val="lrTb"/>
            <w:noWrap w:val="false"/>
          </w:tcPr>
          <w:p>
            <w:pPr>
              <w:pStyle w:val="1090"/>
              <w:jc w:val="center"/>
              <w:spacing w:line="5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提供营业执照</w:t>
            </w:r>
            <w:r/>
          </w:p>
        </w:tc>
      </w:tr>
    </w:tbl>
    <w:p>
      <w:pPr>
        <w:rPr>
          <w:rFonts w:hint="eastAsia" w:ascii="宋体" w:hAnsi="宋体" w:eastAsia="宋体" w:cs="宋体"/>
          <w:i/>
          <w:color w:val="auto"/>
          <w:sz w:val="32"/>
          <w:szCs w:val="32"/>
          <w:highlight w:val="none"/>
          <w:u w:val="single"/>
        </w:rPr>
        <w:outlineLvl w:val="1"/>
      </w:pPr>
      <w:r>
        <w:rPr>
          <w:rFonts w:hint="eastAsia" w:ascii="宋体" w:hAnsi="宋体" w:eastAsia="宋体" w:cs="宋体"/>
          <w:iCs/>
          <w:color w:val="auto"/>
          <w:sz w:val="32"/>
          <w:szCs w:val="32"/>
          <w:highlight w:val="none"/>
        </w:rPr>
        <w:br w:type="page" w:clear="all"/>
      </w:r>
      <w:bookmarkStart w:id="222" w:name="_Toc12873"/>
      <w:r>
        <w:rPr>
          <w:rFonts w:hint="eastAsia" w:ascii="宋体" w:hAnsi="宋体" w:eastAsia="宋体" w:cs="宋体"/>
          <w:b/>
          <w:iCs/>
          <w:color w:val="auto"/>
          <w:sz w:val="32"/>
          <w:szCs w:val="32"/>
          <w:highlight w:val="none"/>
        </w:rPr>
        <w:t xml:space="preserve">三、特定资格要求的证明文件</w:t>
      </w:r>
      <w:bookmarkEnd w:id="222"/>
      <w:r/>
      <w:r/>
    </w:p>
    <w:p>
      <w:pPr>
        <w:spacing w:line="460" w:lineRule="exact"/>
        <w:rPr>
          <w:rFonts w:hint="eastAsia" w:ascii="宋体" w:hAnsi="宋体" w:eastAsia="宋体" w:cs="宋体"/>
          <w:bCs/>
          <w:color w:val="auto"/>
          <w:sz w:val="24"/>
          <w:highlight w:val="none"/>
        </w:rPr>
      </w:pPr>
      <w:r>
        <w:rPr>
          <w:rFonts w:hint="eastAsia" w:ascii="宋体" w:hAnsi="宋体" w:eastAsia="宋体" w:cs="宋体"/>
          <w:color w:val="auto"/>
          <w:sz w:val="24"/>
          <w:highlight w:val="none"/>
        </w:rPr>
        <w:t xml:space="preserve">如果本项目申请人的特定资格要求中要求提供的，必须提供。</w:t>
      </w:r>
      <w:r/>
    </w:p>
    <w:p>
      <w:pPr>
        <w:rPr>
          <w:rFonts w:hint="eastAsia" w:ascii="宋体" w:hAnsi="宋体" w:eastAsia="宋体" w:cs="宋体"/>
          <w:iCs/>
          <w:color w:val="auto"/>
          <w:sz w:val="32"/>
          <w:szCs w:val="32"/>
          <w:highlight w:val="none"/>
        </w:rPr>
        <w:outlineLvl w:val="1"/>
      </w:pPr>
      <w:r>
        <w:rPr>
          <w:rFonts w:hint="eastAsia" w:ascii="宋体" w:hAnsi="宋体" w:eastAsia="宋体" w:cs="宋体"/>
          <w:iCs/>
          <w:color w:val="auto"/>
          <w:sz w:val="32"/>
          <w:szCs w:val="32"/>
          <w:highlight w:val="none"/>
        </w:rPr>
        <w:br w:type="page" w:clear="all"/>
      </w:r>
      <w:bookmarkStart w:id="223" w:name="_Toc29590"/>
      <w:r>
        <w:rPr>
          <w:rFonts w:hint="eastAsia" w:ascii="宋体" w:hAnsi="宋体" w:eastAsia="宋体" w:cs="宋体"/>
          <w:b/>
          <w:iCs/>
          <w:color w:val="auto"/>
          <w:sz w:val="32"/>
          <w:szCs w:val="32"/>
          <w:highlight w:val="none"/>
        </w:rPr>
        <w:t xml:space="preserve">四、法人授权书</w:t>
      </w:r>
      <w:bookmarkEnd w:id="223"/>
      <w:r/>
      <w:r/>
    </w:p>
    <w:p>
      <w:pPr>
        <w:ind w:firstLine="480"/>
        <w:tabs>
          <w:tab w:val="left" w:pos="3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072"/>
        <w:jc w:val="center"/>
        <w:spacing w:line="520" w:lineRule="exac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法人授权书</w:t>
      </w:r>
      <w:r/>
    </w:p>
    <w:p>
      <w:pPr>
        <w:ind w:firstLine="480"/>
        <w:spacing w:line="520" w:lineRule="exact"/>
        <w:tabs>
          <w:tab w:val="left" w:pos="3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本授权书声明：____________（供应商名称）授权________________（被授权人的姓名）为我方就</w:t>
      </w:r>
      <w:r>
        <w:rPr>
          <w:rFonts w:hint="eastAsia" w:ascii="宋体" w:hAnsi="宋体" w:cs="宋体"/>
          <w:color w:val="auto"/>
          <w:sz w:val="24"/>
          <w:szCs w:val="24"/>
          <w:highlight w:val="none"/>
          <w:u w:val="single"/>
          <w:lang w:eastAsia="zh-CN"/>
        </w:rPr>
        <w:t xml:space="preserve">JSZC-321300-JSKJ-C2026-0012</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lang w:eastAsia="zh-CN"/>
        </w:rPr>
        <w:t xml:space="preserve">宿迁市市辖区第二轮生物多样性本底调查项目</w:t>
      </w:r>
      <w:r>
        <w:rPr>
          <w:rFonts w:hint="eastAsia" w:ascii="宋体" w:hAnsi="宋体" w:eastAsia="宋体" w:cs="宋体"/>
          <w:color w:val="auto"/>
          <w:sz w:val="24"/>
          <w:szCs w:val="24"/>
          <w:highlight w:val="none"/>
        </w:rPr>
        <w:t xml:space="preserve">采购活动的合法代理人，以本单位名义全权处理一切与该项目采购有关的事务。</w:t>
      </w:r>
      <w:r/>
    </w:p>
    <w:p>
      <w:pPr>
        <w:ind w:firstLine="480"/>
        <w:spacing w:line="520" w:lineRule="exact"/>
        <w:tabs>
          <w:tab w:val="left" w:pos="3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本授权书于______年____月____日起生效，特此声明。</w:t>
      </w:r>
      <w:r/>
    </w:p>
    <w:p>
      <w:pPr>
        <w:tabs>
          <w:tab w:val="left" w:pos="3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tabs>
          <w:tab w:val="left" w:pos="3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1200"/>
        <w:spacing w:line="520" w:lineRule="exact"/>
        <w:tabs>
          <w:tab w:val="left" w:pos="3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被授权人身份证号码</w:t>
      </w:r>
      <w:r>
        <w:rPr>
          <w:rFonts w:hint="eastAsia" w:ascii="宋体" w:hAnsi="宋体" w:eastAsia="宋体" w:cs="宋体"/>
          <w:color w:val="auto"/>
          <w:sz w:val="24"/>
          <w:szCs w:val="24"/>
          <w:highlight w:val="none"/>
          <w:lang w:eastAsia="zh-CN"/>
        </w:rPr>
        <w:t xml:space="preserve">：</w:t>
      </w:r>
      <w:r/>
    </w:p>
    <w:p>
      <w:pPr>
        <w:ind w:firstLine="1200"/>
        <w:spacing w:line="520" w:lineRule="exact"/>
        <w:tabs>
          <w:tab w:val="left" w:pos="360" w:leader="none"/>
        </w:tabs>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被授权人联系电话：（手机）</w:t>
      </w:r>
      <w:r/>
    </w:p>
    <w:p>
      <w:pPr>
        <w:ind w:firstLine="1200"/>
        <w:spacing w:line="520" w:lineRule="exact"/>
        <w:tabs>
          <w:tab w:val="left" w:pos="360" w:leader="none"/>
        </w:tabs>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授权单位名称：</w:t>
      </w:r>
      <w:r>
        <w:rPr>
          <w:rFonts w:hint="eastAsia" w:ascii="宋体" w:hAnsi="宋体" w:eastAsia="宋体" w:cs="宋体"/>
          <w:color w:val="auto"/>
          <w:sz w:val="24"/>
          <w:szCs w:val="24"/>
          <w:highlight w:val="none"/>
          <w:u w:val="single"/>
        </w:rPr>
        <w:t xml:space="preserve">（加盖CA电子公章）</w:t>
      </w:r>
      <w:r/>
    </w:p>
    <w:p>
      <w:pPr>
        <w:ind w:firstLine="1200"/>
        <w:spacing w:line="520" w:lineRule="exact"/>
        <w:tabs>
          <w:tab w:val="left" w:pos="3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单位地址：</w:t>
      </w:r>
      <w:r/>
    </w:p>
    <w:p>
      <w:pPr>
        <w:ind w:firstLine="1200"/>
        <w:spacing w:line="520" w:lineRule="exact"/>
        <w:tabs>
          <w:tab w:val="left" w:pos="360" w:leader="none"/>
        </w:tabs>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日期：</w:t>
      </w:r>
      <w:bookmarkStart w:id="224" w:name="_Hlt26955070"/>
      <w:r/>
      <w:bookmarkEnd w:id="224"/>
      <w:r/>
      <w:bookmarkStart w:id="225" w:name="_Hlt26671380"/>
      <w:r/>
      <w:bookmarkEnd w:id="225"/>
      <w:r/>
      <w:bookmarkStart w:id="226" w:name="_格式3__银行出具的资信证明"/>
      <w:r/>
      <w:bookmarkEnd w:id="226"/>
      <w:r>
        <w:rPr>
          <w:rFonts w:hint="eastAsia" w:ascii="宋体" w:hAnsi="宋体" w:eastAsia="宋体" w:cs="宋体"/>
          <w:color w:val="auto"/>
          <w:sz w:val="24"/>
          <w:szCs w:val="24"/>
          <w:highlight w:val="none"/>
          <w:lang w:val="en-US" w:eastAsia="zh-CN"/>
        </w:rPr>
        <w:tab/>
      </w:r>
      <w:r>
        <w:rPr>
          <w:rFonts w:hint="eastAsia" w:ascii="宋体" w:hAnsi="宋体" w:eastAsia="宋体" w:cs="宋体"/>
          <w:color w:val="auto"/>
          <w:sz w:val="24"/>
          <w:szCs w:val="24"/>
          <w:highlight w:val="none"/>
          <w:lang w:val="en-US" w:eastAsia="zh-CN"/>
        </w:rPr>
        <w:tab/>
      </w:r>
      <w:r>
        <w:rPr>
          <w:rFonts w:hint="eastAsia" w:ascii="宋体" w:hAnsi="宋体" w:eastAsia="宋体" w:cs="宋体"/>
          <w:color w:val="auto"/>
          <w:sz w:val="24"/>
          <w:szCs w:val="24"/>
          <w:highlight w:val="none"/>
          <w:lang w:val="en-US" w:eastAsia="zh-CN"/>
        </w:rPr>
        <w:t xml:space="preserve">年</w:t>
      </w:r>
      <w:r>
        <w:rPr>
          <w:rFonts w:hint="eastAsia" w:ascii="宋体" w:hAnsi="宋体" w:eastAsia="宋体" w:cs="宋体"/>
          <w:color w:val="auto"/>
          <w:sz w:val="24"/>
          <w:szCs w:val="24"/>
          <w:highlight w:val="none"/>
          <w:lang w:val="en-US" w:eastAsia="zh-CN"/>
        </w:rPr>
        <w:tab/>
      </w:r>
      <w:r>
        <w:rPr>
          <w:rFonts w:hint="eastAsia" w:ascii="宋体" w:hAnsi="宋体" w:eastAsia="宋体" w:cs="宋体"/>
          <w:color w:val="auto"/>
          <w:sz w:val="24"/>
          <w:szCs w:val="24"/>
          <w:highlight w:val="none"/>
          <w:lang w:val="en-US" w:eastAsia="zh-CN"/>
        </w:rPr>
        <w:tab/>
      </w:r>
      <w:r>
        <w:rPr>
          <w:rFonts w:hint="eastAsia" w:ascii="宋体" w:hAnsi="宋体" w:eastAsia="宋体" w:cs="宋体"/>
          <w:color w:val="auto"/>
          <w:sz w:val="24"/>
          <w:szCs w:val="24"/>
          <w:highlight w:val="none"/>
          <w:lang w:val="en-US" w:eastAsia="zh-CN"/>
        </w:rPr>
        <w:t xml:space="preserve">月</w:t>
      </w:r>
      <w:r>
        <w:rPr>
          <w:rFonts w:hint="eastAsia" w:ascii="宋体" w:hAnsi="宋体" w:eastAsia="宋体" w:cs="宋体"/>
          <w:color w:val="auto"/>
          <w:sz w:val="24"/>
          <w:szCs w:val="24"/>
          <w:highlight w:val="none"/>
          <w:lang w:val="en-US" w:eastAsia="zh-CN"/>
        </w:rPr>
        <w:tab/>
      </w:r>
      <w:r>
        <w:rPr>
          <w:rFonts w:hint="eastAsia" w:ascii="宋体" w:hAnsi="宋体" w:eastAsia="宋体" w:cs="宋体"/>
          <w:color w:val="auto"/>
          <w:sz w:val="24"/>
          <w:szCs w:val="24"/>
          <w:highlight w:val="none"/>
          <w:lang w:val="en-US" w:eastAsia="zh-CN"/>
        </w:rPr>
        <w:tab/>
      </w:r>
      <w:r>
        <w:rPr>
          <w:rFonts w:hint="eastAsia" w:ascii="宋体" w:hAnsi="宋体" w:eastAsia="宋体" w:cs="宋体"/>
          <w:color w:val="auto"/>
          <w:sz w:val="24"/>
          <w:szCs w:val="24"/>
          <w:highlight w:val="none"/>
          <w:lang w:val="en-US" w:eastAsia="zh-CN"/>
        </w:rPr>
        <w:t xml:space="preserve">日</w:t>
      </w:r>
      <w:r/>
    </w:p>
    <w:p>
      <w:pPr>
        <w:spacing w:line="460" w:lineRule="exact"/>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r>
      <w:r/>
    </w:p>
    <w:p>
      <w:pPr>
        <w:ind w:firstLine="480"/>
        <w:tabs>
          <w:tab w:val="left" w:pos="360" w:leader="none"/>
        </w:tabs>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r>
      <w:r/>
    </w:p>
    <w:p>
      <w:pPr>
        <w:ind w:firstLine="480"/>
        <w:tabs>
          <w:tab w:val="left" w:pos="3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20"/>
        <w:rPr>
          <w:rFonts w:hint="eastAsia" w:ascii="宋体" w:hAnsi="宋体" w:eastAsia="宋体" w:cs="宋体"/>
          <w:i/>
          <w:color w:val="auto"/>
          <w:sz w:val="24"/>
          <w:szCs w:val="24"/>
          <w:highlight w:val="none"/>
          <w:u w:val="single"/>
        </w:rPr>
      </w:pPr>
      <w:r>
        <w:rPr>
          <w:rFonts w:hint="eastAsia" w:ascii="宋体" w:hAnsi="宋体" w:eastAsia="宋体" w:cs="宋体"/>
          <w:i/>
          <w:color w:val="auto"/>
          <w:sz w:val="24"/>
          <w:szCs w:val="24"/>
          <w:highlight w:val="none"/>
          <w:u w:val="single"/>
        </w:rPr>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jc w:val="left"/>
        <w:spacing w:line="560" w:lineRule="exact"/>
        <w:rPr>
          <w:rFonts w:hint="eastAsia" w:ascii="宋体" w:hAnsi="宋体" w:eastAsia="宋体" w:cs="宋体"/>
          <w:b/>
          <w:iCs/>
          <w:color w:val="auto"/>
          <w:sz w:val="32"/>
          <w:szCs w:val="32"/>
          <w:highlight w:val="none"/>
        </w:rPr>
        <w:outlineLvl w:val="1"/>
      </w:pPr>
      <w:r>
        <w:rPr>
          <w:rFonts w:hint="eastAsia" w:ascii="宋体" w:hAnsi="宋体" w:eastAsia="宋体" w:cs="宋体"/>
          <w:b/>
          <w:color w:val="auto"/>
          <w:sz w:val="24"/>
          <w:szCs w:val="44"/>
          <w:highlight w:val="none"/>
        </w:rPr>
        <w:br w:type="page" w:clear="all"/>
      </w:r>
      <w:bookmarkStart w:id="227" w:name="_Toc25748"/>
      <w:r>
        <w:rPr>
          <w:rFonts w:hint="eastAsia" w:ascii="宋体" w:hAnsi="宋体" w:eastAsia="宋体" w:cs="宋体"/>
          <w:b/>
          <w:iCs/>
          <w:color w:val="auto"/>
          <w:sz w:val="32"/>
          <w:szCs w:val="32"/>
          <w:highlight w:val="none"/>
        </w:rPr>
        <w:t xml:space="preserve">五、中小（微）企业声明函（服务）</w:t>
      </w:r>
      <w:bookmarkEnd w:id="227"/>
      <w:r/>
      <w:r/>
    </w:p>
    <w:p>
      <w:pPr>
        <w:ind w:firstLine="36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072"/>
        <w:jc w:val="cente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中小（微）企业声明函（服务）</w:t>
      </w:r>
      <w:r/>
    </w:p>
    <w:p>
      <w:pPr>
        <w:ind w:firstLine="36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本公司（联合体）郑重声明，根据《政府采购促进中小企业发展管理办法》(财库[2020]46号)的规定，本公司（联合体）参加</w:t>
      </w:r>
      <w:r>
        <w:rPr>
          <w:rFonts w:hint="eastAsia" w:ascii="宋体" w:hAnsi="宋体" w:eastAsia="宋体" w:cs="宋体"/>
          <w:color w:val="auto"/>
          <w:sz w:val="24"/>
          <w:szCs w:val="24"/>
          <w:highlight w:val="none"/>
          <w:u w:val="single"/>
          <w:lang w:eastAsia="zh-CN"/>
        </w:rPr>
        <w:t xml:space="preserve">宿迁市生态环境局</w:t>
      </w:r>
      <w:r>
        <w:rPr>
          <w:rFonts w:hint="eastAsia" w:ascii="宋体" w:hAnsi="宋体" w:eastAsia="宋体" w:cs="宋体"/>
          <w:color w:val="auto"/>
          <w:sz w:val="24"/>
          <w:szCs w:val="24"/>
          <w:highlight w:val="none"/>
          <w:u w:val="single"/>
        </w:rPr>
        <w:t xml:space="preserve">（单位名称）</w:t>
      </w:r>
      <w:r>
        <w:rPr>
          <w:rFonts w:hint="eastAsia" w:ascii="宋体" w:hAnsi="宋体" w:eastAsia="宋体" w:cs="宋体"/>
          <w:color w:val="auto"/>
          <w:sz w:val="24"/>
          <w:szCs w:val="24"/>
          <w:highlight w:val="none"/>
        </w:rPr>
        <w:t xml:space="preserve">采购编号为</w:t>
      </w:r>
      <w:r>
        <w:rPr>
          <w:rFonts w:hint="eastAsia" w:ascii="宋体" w:hAnsi="宋体" w:cs="宋体"/>
          <w:color w:val="auto"/>
          <w:sz w:val="24"/>
          <w:szCs w:val="24"/>
          <w:highlight w:val="none"/>
          <w:u w:val="single"/>
          <w:lang w:eastAsia="zh-CN"/>
        </w:rPr>
        <w:t xml:space="preserve">JSZC-321300-JSKJ-C2026-0012</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lang w:eastAsia="zh-CN"/>
        </w:rPr>
        <w:t xml:space="preserve">宿迁市市辖区第二轮生物多样性本底调查项目</w:t>
      </w:r>
      <w:r>
        <w:rPr>
          <w:rFonts w:hint="eastAsia" w:ascii="宋体" w:hAnsi="宋体" w:eastAsia="宋体" w:cs="宋体"/>
          <w:color w:val="auto"/>
          <w:sz w:val="24"/>
          <w:szCs w:val="24"/>
          <w:highlight w:val="none"/>
          <w:u w:val="single"/>
        </w:rPr>
        <w:t xml:space="preserve">（项目名称）</w:t>
      </w:r>
      <w:r>
        <w:rPr>
          <w:rFonts w:hint="eastAsia" w:ascii="宋体" w:hAnsi="宋体" w:eastAsia="宋体" w:cs="宋体"/>
          <w:color w:val="auto"/>
          <w:sz w:val="24"/>
          <w:szCs w:val="24"/>
          <w:highlight w:val="none"/>
        </w:rPr>
        <w:t xml:space="preserve">的采购活动，服务全部由符合政策的小微企业承接。根据《工业和信息化部、国家统计局、国家发展和改革委员会、财政部关于印发中小企业划型标准规定的通知》(工信部联企业[2011]300号)的规定，相关企业（含联合体中的小微企业、签订分包意向协议的小微企业）的具体情况如下：</w:t>
      </w:r>
      <w:r/>
    </w:p>
    <w:p>
      <w:pPr>
        <w:ind w:firstLine="360"/>
        <w:spacing w:line="560" w:lineRule="exact"/>
        <w:rPr>
          <w:rFonts w:hint="eastAsia" w:ascii="宋体" w:hAnsi="宋体" w:eastAsia="宋体" w:cs="宋体"/>
          <w:i/>
          <w:color w:val="auto"/>
          <w:sz w:val="24"/>
          <w:szCs w:val="24"/>
          <w:highlight w:val="none"/>
          <w:u w:val="singl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（标的名称）</w:t>
      </w:r>
      <w:r>
        <w:rPr>
          <w:rFonts w:hint="eastAsia" w:ascii="宋体" w:hAnsi="宋体" w:eastAsia="宋体" w:cs="宋体"/>
          <w:i/>
          <w:color w:val="auto"/>
          <w:sz w:val="24"/>
          <w:szCs w:val="24"/>
          <w:highlight w:val="none"/>
        </w:rPr>
        <w:t xml:space="preserve">，</w:t>
      </w:r>
      <w:r>
        <w:rPr>
          <w:rFonts w:hint="eastAsia" w:ascii="宋体" w:hAnsi="宋体" w:eastAsia="宋体" w:cs="宋体"/>
          <w:color w:val="auto"/>
          <w:sz w:val="24"/>
          <w:szCs w:val="24"/>
          <w:highlight w:val="none"/>
        </w:rPr>
        <w:t xml:space="preserve">属于</w:t>
      </w:r>
      <w:r>
        <w:rPr>
          <w:rFonts w:hint="eastAsia" w:ascii="宋体" w:hAnsi="宋体" w:eastAsia="宋体" w:cs="宋体"/>
          <w:color w:val="auto"/>
          <w:sz w:val="24"/>
          <w:szCs w:val="24"/>
          <w:highlight w:val="none"/>
          <w:u w:val="single"/>
          <w:lang w:val="en-US" w:eastAsia="zh-CN"/>
        </w:rPr>
        <w:t xml:space="preserve">      </w:t>
      </w:r>
      <w:r>
        <w:rPr>
          <w:rStyle w:val="734"/>
          <w:rFonts w:hint="eastAsia" w:ascii="宋体" w:hAnsi="宋体" w:eastAsia="宋体" w:cs="宋体"/>
          <w:color w:val="auto"/>
          <w:sz w:val="24"/>
          <w:szCs w:val="24"/>
          <w:highlight w:val="none"/>
          <w:u w:val="single"/>
          <w:lang w:val="en-US" w:eastAsia="zh-CN" w:bidi="ar-SA"/>
        </w:rPr>
        <w:t xml:space="preserve">（</w:t>
      </w:r>
      <w:r>
        <w:rPr>
          <w:rStyle w:val="734"/>
          <w:rFonts w:hint="eastAsia" w:ascii="宋体" w:hAnsi="宋体" w:eastAsia="宋体" w:cs="宋体"/>
          <w:i/>
          <w:color w:val="auto"/>
          <w:sz w:val="24"/>
          <w:szCs w:val="24"/>
          <w:highlight w:val="none"/>
          <w:u w:val="single"/>
          <w:lang w:val="en-US" w:eastAsia="zh-CN" w:bidi="ar-SA"/>
        </w:rPr>
        <w:t xml:space="preserve">采购文件中明确的所属行业）</w:t>
      </w:r>
      <w:r>
        <w:rPr>
          <w:rFonts w:hint="eastAsia" w:ascii="宋体" w:hAnsi="宋体" w:eastAsia="宋体" w:cs="宋体"/>
          <w:color w:val="auto"/>
          <w:sz w:val="24"/>
          <w:szCs w:val="24"/>
          <w:highlight w:val="none"/>
        </w:rPr>
        <w:t xml:space="preserve">行业；承接企业为</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（企业名称）</w:t>
      </w:r>
      <w:r>
        <w:rPr>
          <w:rFonts w:hint="eastAsia" w:ascii="宋体" w:hAnsi="宋体" w:eastAsia="宋体" w:cs="宋体"/>
          <w:color w:val="auto"/>
          <w:sz w:val="24"/>
          <w:szCs w:val="24"/>
          <w:highlight w:val="none"/>
        </w:rPr>
        <w:t xml:space="preserve">，从业人员</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人，营业收入为</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万元，资产总额为</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万元</w:t>
      </w:r>
      <w:r>
        <w:rPr>
          <w:rFonts w:hint="eastAsia" w:ascii="宋体" w:hAnsi="宋体" w:eastAsia="宋体" w:cs="宋体"/>
          <w:color w:val="auto"/>
          <w:sz w:val="24"/>
          <w:szCs w:val="24"/>
          <w:highlight w:val="none"/>
          <w:vertAlign w:val="superscript"/>
        </w:rPr>
        <w:t xml:space="preserve">1</w:t>
      </w:r>
      <w:r>
        <w:rPr>
          <w:rFonts w:hint="eastAsia" w:ascii="宋体" w:hAnsi="宋体" w:eastAsia="宋体" w:cs="宋体"/>
          <w:color w:val="auto"/>
          <w:sz w:val="24"/>
          <w:szCs w:val="24"/>
          <w:highlight w:val="none"/>
        </w:rPr>
        <w:t xml:space="preserve">，属于</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（中型、小型企业、微型企业）；</w:t>
      </w:r>
      <w:r/>
    </w:p>
    <w:p>
      <w:pPr>
        <w:ind w:firstLine="360"/>
        <w:spacing w:line="560" w:lineRule="exact"/>
        <w:rPr>
          <w:rFonts w:hint="eastAsia" w:ascii="宋体" w:hAnsi="宋体" w:eastAsia="宋体" w:cs="宋体"/>
          <w:i/>
          <w:color w:val="auto"/>
          <w:sz w:val="24"/>
          <w:szCs w:val="24"/>
          <w:highlight w:val="none"/>
          <w:u w:val="singl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（标的名称）</w:t>
      </w:r>
      <w:r>
        <w:rPr>
          <w:rFonts w:hint="eastAsia" w:ascii="宋体" w:hAnsi="宋体" w:eastAsia="宋体" w:cs="宋体"/>
          <w:i/>
          <w:color w:val="auto"/>
          <w:sz w:val="24"/>
          <w:szCs w:val="24"/>
          <w:highlight w:val="none"/>
        </w:rPr>
        <w:t xml:space="preserve">，</w:t>
      </w:r>
      <w:r>
        <w:rPr>
          <w:rFonts w:hint="eastAsia" w:ascii="宋体" w:hAnsi="宋体" w:eastAsia="宋体" w:cs="宋体"/>
          <w:color w:val="auto"/>
          <w:sz w:val="24"/>
          <w:szCs w:val="24"/>
          <w:highlight w:val="none"/>
        </w:rPr>
        <w:t xml:space="preserve">属于</w:t>
      </w:r>
      <w:r>
        <w:rPr>
          <w:rFonts w:hint="eastAsia" w:ascii="宋体" w:hAnsi="宋体" w:eastAsia="宋体" w:cs="宋体"/>
          <w:color w:val="auto"/>
          <w:sz w:val="24"/>
          <w:szCs w:val="24"/>
          <w:highlight w:val="none"/>
          <w:u w:val="single"/>
          <w:lang w:val="en-US" w:eastAsia="zh-CN"/>
        </w:rPr>
        <w:t xml:space="preserve">      </w:t>
      </w:r>
      <w:r>
        <w:rPr>
          <w:rStyle w:val="734"/>
          <w:rFonts w:hint="eastAsia" w:ascii="宋体" w:hAnsi="宋体" w:eastAsia="宋体" w:cs="宋体"/>
          <w:color w:val="auto"/>
          <w:sz w:val="24"/>
          <w:szCs w:val="24"/>
          <w:highlight w:val="none"/>
          <w:u w:val="single"/>
          <w:lang w:val="en-US" w:eastAsia="zh-CN" w:bidi="ar-SA"/>
        </w:rPr>
        <w:t xml:space="preserve">（</w:t>
      </w:r>
      <w:r>
        <w:rPr>
          <w:rStyle w:val="734"/>
          <w:rFonts w:hint="eastAsia" w:ascii="宋体" w:hAnsi="宋体" w:eastAsia="宋体" w:cs="宋体"/>
          <w:i/>
          <w:color w:val="auto"/>
          <w:sz w:val="24"/>
          <w:szCs w:val="24"/>
          <w:highlight w:val="none"/>
          <w:u w:val="single"/>
          <w:lang w:val="en-US" w:eastAsia="zh-CN" w:bidi="ar-SA"/>
        </w:rPr>
        <w:t xml:space="preserve">采购文件中明确的所属行业）</w:t>
      </w:r>
      <w:r>
        <w:rPr>
          <w:rFonts w:hint="eastAsia" w:ascii="宋体" w:hAnsi="宋体" w:eastAsia="宋体" w:cs="宋体"/>
          <w:color w:val="auto"/>
          <w:sz w:val="24"/>
          <w:szCs w:val="24"/>
          <w:highlight w:val="none"/>
        </w:rPr>
        <w:t xml:space="preserve">行业；承接企业为</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（企业名称）</w:t>
      </w:r>
      <w:r>
        <w:rPr>
          <w:rFonts w:hint="eastAsia" w:ascii="宋体" w:hAnsi="宋体" w:eastAsia="宋体" w:cs="宋体"/>
          <w:color w:val="auto"/>
          <w:sz w:val="24"/>
          <w:szCs w:val="24"/>
          <w:highlight w:val="none"/>
        </w:rPr>
        <w:t xml:space="preserve">，从业人员</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人，营业收入为</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万元，资产总额为</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万元</w:t>
      </w:r>
      <w:r>
        <w:rPr>
          <w:rFonts w:hint="eastAsia" w:ascii="宋体" w:hAnsi="宋体" w:eastAsia="宋体" w:cs="宋体"/>
          <w:color w:val="auto"/>
          <w:sz w:val="24"/>
          <w:szCs w:val="24"/>
          <w:highlight w:val="none"/>
          <w:vertAlign w:val="superscript"/>
        </w:rPr>
        <w:t xml:space="preserve">1</w:t>
      </w:r>
      <w:r>
        <w:rPr>
          <w:rFonts w:hint="eastAsia" w:ascii="宋体" w:hAnsi="宋体" w:eastAsia="宋体" w:cs="宋体"/>
          <w:color w:val="auto"/>
          <w:sz w:val="24"/>
          <w:szCs w:val="24"/>
          <w:highlight w:val="none"/>
        </w:rPr>
        <w:t xml:space="preserve">，属于</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（中型、小型企业、微型企业）；</w:t>
      </w:r>
      <w:r/>
    </w:p>
    <w:p>
      <w:pPr>
        <w:ind w:firstLine="36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p>
    <w:p>
      <w:pPr>
        <w:ind w:firstLine="48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以上企业，不属于大企业的分支机构，不存在控股股东为大企业的情形，也不存在与大企业的负责人为同一人的情形。</w:t>
      </w:r>
      <w:r/>
    </w:p>
    <w:p>
      <w:pPr>
        <w:ind w:firstLine="48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本企业对上述声明内容的真实性负责。如有虚假，将依法承担相应责任。</w:t>
      </w:r>
      <w:r/>
    </w:p>
    <w:p>
      <w:pPr>
        <w:ind w:right="72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right="180" w:firstLine="360"/>
        <w:jc w:val="right"/>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企业名称（加盖CA电子公章）：</w:t>
      </w:r>
      <w:r/>
    </w:p>
    <w:p>
      <w:pPr>
        <w:ind w:right="480" w:firstLine="540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w:t>
      </w:r>
      <w:r>
        <w:rPr>
          <w:rFonts w:hint="eastAsia" w:ascii="宋体" w:hAnsi="宋体" w:eastAsia="宋体" w:cs="宋体"/>
          <w:color w:val="auto"/>
          <w:sz w:val="24"/>
          <w:szCs w:val="24"/>
          <w:highlight w:val="none"/>
          <w:lang w:val="en-US" w:eastAsia="zh-CN"/>
        </w:rPr>
        <w:tab/>
      </w:r>
      <w:r>
        <w:rPr>
          <w:rFonts w:hint="eastAsia" w:ascii="宋体" w:hAnsi="宋体" w:eastAsia="宋体" w:cs="宋体"/>
          <w:color w:val="auto"/>
          <w:sz w:val="24"/>
          <w:szCs w:val="24"/>
          <w:highlight w:val="none"/>
          <w:lang w:val="en-US" w:eastAsia="zh-CN"/>
        </w:rPr>
        <w:t xml:space="preserve">年</w:t>
      </w:r>
      <w:r>
        <w:rPr>
          <w:rFonts w:hint="eastAsia" w:ascii="宋体" w:hAnsi="宋体" w:eastAsia="宋体" w:cs="宋体"/>
          <w:color w:val="auto"/>
          <w:sz w:val="24"/>
          <w:szCs w:val="24"/>
          <w:highlight w:val="none"/>
          <w:lang w:val="en-US" w:eastAsia="zh-CN"/>
        </w:rPr>
        <w:tab/>
      </w:r>
      <w:r>
        <w:rPr>
          <w:rFonts w:hint="eastAsia" w:ascii="宋体" w:hAnsi="宋体" w:eastAsia="宋体" w:cs="宋体"/>
          <w:color w:val="auto"/>
          <w:sz w:val="24"/>
          <w:szCs w:val="24"/>
          <w:highlight w:val="none"/>
          <w:lang w:val="en-US" w:eastAsia="zh-CN"/>
        </w:rPr>
        <w:t xml:space="preserve">月</w:t>
      </w:r>
      <w:r>
        <w:rPr>
          <w:rFonts w:hint="eastAsia" w:ascii="宋体" w:hAnsi="宋体" w:eastAsia="宋体" w:cs="宋体"/>
          <w:color w:val="auto"/>
          <w:sz w:val="24"/>
          <w:szCs w:val="24"/>
          <w:highlight w:val="none"/>
          <w:lang w:val="en-US" w:eastAsia="zh-CN"/>
        </w:rPr>
        <w:tab/>
      </w:r>
      <w:r>
        <w:rPr>
          <w:rFonts w:hint="eastAsia" w:ascii="宋体" w:hAnsi="宋体" w:eastAsia="宋体" w:cs="宋体"/>
          <w:color w:val="auto"/>
          <w:sz w:val="24"/>
          <w:szCs w:val="24"/>
          <w:highlight w:val="none"/>
          <w:lang w:val="en-US" w:eastAsia="zh-CN"/>
        </w:rPr>
        <w:t xml:space="preserve">日</w:t>
      </w:r>
      <w:r/>
    </w:p>
    <w:p>
      <w:pPr>
        <w:ind w:firstLine="420"/>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备注1：从业人员、营业收入、资产总额填报上一年度数据，无上一年度数据的新成立企业可不填报。</w:t>
      </w:r>
      <w:r/>
    </w:p>
    <w:p>
      <w:pPr>
        <w:ind w:firstLine="420"/>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备注2：供应商如不提供此声明函，价格将不做相应扣除。</w:t>
      </w:r>
      <w:r/>
    </w:p>
    <w:p>
      <w:pPr>
        <w:jc w:val="center"/>
        <w:spacing w:line="460" w:lineRule="exac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br w:type="page" w:clear="all"/>
      </w:r>
      <w:r>
        <w:rPr>
          <w:rFonts w:hint="eastAsia" w:ascii="宋体" w:hAnsi="宋体" w:eastAsia="宋体" w:cs="宋体"/>
          <w:b/>
          <w:color w:val="auto"/>
          <w:sz w:val="32"/>
          <w:szCs w:val="32"/>
          <w:highlight w:val="none"/>
        </w:rPr>
        <w:t xml:space="preserve">残疾人福利性单位声明函</w:t>
      </w:r>
      <w:r/>
    </w:p>
    <w:p>
      <w:pPr>
        <w:ind w:firstLine="480"/>
        <w:spacing w:line="588"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本单位郑重声明，根据《财政部民政部中国残疾人联合会关于促进残疾人就业政府采购政策的通知》（财库〔2017〕141号）的规定，本单位为符合条件的残疾人福利性单位，且本单位参加______单位的采购文件编号为______的项目采购活动提供本单位制造的货物，或者提供其他残疾人福利性单位制造的货物（不包括使用非残疾人福利性单位注册商标的货物）。</w:t>
      </w:r>
      <w:r/>
    </w:p>
    <w:p>
      <w:pPr>
        <w:ind w:firstLine="480"/>
        <w:spacing w:line="588"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本单位对上述声明的真实性负责。如有虚假，将依法承担相应责任。</w:t>
      </w:r>
      <w:r/>
    </w:p>
    <w:p>
      <w:pPr>
        <w:ind w:firstLine="480"/>
        <w:spacing w:line="588"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p>
      <w:pPr>
        <w:ind w:firstLine="480"/>
        <w:spacing w:line="588"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（备注：1、供应商如不提供此声明函，价格将不做相应扣除。2、成交供应商为残疾人福利单位的，此声明函将随成交结果同时公告，接受社会监督）</w:t>
      </w:r>
      <w:r/>
    </w:p>
    <w:p>
      <w:pPr>
        <w:ind w:firstLine="624"/>
        <w:spacing w:line="588" w:lineRule="exact"/>
        <w:rPr>
          <w:rFonts w:hint="eastAsia" w:ascii="宋体" w:hAnsi="宋体" w:eastAsia="宋体" w:cs="宋体"/>
          <w:color w:val="auto"/>
          <w:spacing w:val="6"/>
          <w:sz w:val="30"/>
          <w:szCs w:val="30"/>
          <w:highlight w:val="none"/>
        </w:rPr>
      </w:pPr>
      <w:r>
        <w:rPr>
          <w:rFonts w:hint="eastAsia" w:ascii="宋体" w:hAnsi="宋体" w:eastAsia="宋体" w:cs="宋体"/>
          <w:color w:val="auto"/>
          <w:spacing w:val="6"/>
          <w:sz w:val="30"/>
          <w:szCs w:val="30"/>
          <w:highlight w:val="none"/>
        </w:rPr>
      </w:r>
      <w:r/>
    </w:p>
    <w:p>
      <w:pPr>
        <w:ind w:right="1560" w:firstLine="624"/>
        <w:jc w:val="center"/>
        <w:spacing w:line="588" w:lineRule="exact"/>
        <w:tabs>
          <w:tab w:val="left" w:pos="4860" w:leader="none"/>
        </w:tabs>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供应商全称（加盖CA电子公章）：</w:t>
      </w:r>
      <w:r/>
    </w:p>
    <w:p>
      <w:pPr>
        <w:ind w:right="1560" w:firstLine="624"/>
        <w:jc w:val="center"/>
        <w:spacing w:line="588" w:lineRule="exact"/>
        <w:tabs>
          <w:tab w:val="left" w:pos="4860" w:leader="none"/>
        </w:tabs>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日期：</w:t>
      </w:r>
      <w:r>
        <w:rPr>
          <w:rFonts w:hint="eastAsia" w:ascii="宋体" w:hAnsi="宋体" w:eastAsia="宋体" w:cs="宋体"/>
          <w:color w:val="auto"/>
          <w:sz w:val="24"/>
          <w:szCs w:val="21"/>
          <w:highlight w:val="none"/>
          <w:lang w:val="en-US" w:eastAsia="zh-CN"/>
        </w:rPr>
        <w:t xml:space="preserve">   年   月   日</w:t>
      </w:r>
      <w:r/>
    </w:p>
    <w:p>
      <w:pPr>
        <w:jc w:val="center"/>
        <w:spacing w:line="560" w:lineRule="exac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center"/>
        <w:spacing w:line="560" w:lineRule="exac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center"/>
        <w:spacing w:line="560" w:lineRule="exac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left"/>
        <w:rPr>
          <w:rFonts w:hint="eastAsia" w:ascii="宋体" w:hAnsi="宋体" w:eastAsia="宋体" w:cs="宋体"/>
          <w:b/>
          <w:iCs/>
          <w:color w:val="auto"/>
          <w:sz w:val="32"/>
          <w:szCs w:val="32"/>
          <w:highlight w:val="none"/>
        </w:rPr>
        <w:outlineLvl w:val="1"/>
      </w:pPr>
      <w:r>
        <w:rPr>
          <w:rFonts w:hint="eastAsia" w:ascii="宋体" w:hAnsi="宋体" w:eastAsia="宋体" w:cs="宋体"/>
          <w:b/>
          <w:iCs/>
          <w:color w:val="auto"/>
          <w:sz w:val="32"/>
          <w:szCs w:val="32"/>
          <w:highlight w:val="none"/>
        </w:rPr>
        <w:br w:type="page" w:clear="all"/>
      </w:r>
      <w:bookmarkStart w:id="228" w:name="_Toc24214"/>
      <w:r>
        <w:rPr>
          <w:rFonts w:hint="eastAsia" w:ascii="宋体" w:hAnsi="宋体" w:eastAsia="宋体" w:cs="宋体"/>
          <w:b/>
          <w:iCs/>
          <w:color w:val="auto"/>
          <w:sz w:val="32"/>
          <w:szCs w:val="32"/>
          <w:highlight w:val="none"/>
        </w:rPr>
        <w:t xml:space="preserve">六、报价一览表</w:t>
      </w:r>
      <w:bookmarkEnd w:id="228"/>
      <w:r/>
      <w:r/>
    </w:p>
    <w:p>
      <w:pPr>
        <w:jc w:val="center"/>
        <w:rPr>
          <w:rFonts w:hint="eastAsia" w:ascii="宋体" w:hAnsi="宋体" w:eastAsia="宋体" w:cs="宋体"/>
          <w:b/>
          <w:iCs/>
          <w:color w:val="auto"/>
          <w:sz w:val="32"/>
          <w:szCs w:val="32"/>
          <w:highlight w:val="none"/>
        </w:rPr>
      </w:pPr>
      <w:r>
        <w:rPr>
          <w:rFonts w:hint="eastAsia" w:ascii="宋体" w:hAnsi="宋体" w:eastAsia="宋体" w:cs="宋体"/>
          <w:b/>
          <w:iCs/>
          <w:color w:val="auto"/>
          <w:sz w:val="32"/>
          <w:szCs w:val="32"/>
          <w:highlight w:val="none"/>
        </w:rPr>
      </w:r>
      <w:r/>
    </w:p>
    <w:p>
      <w:pPr>
        <w:jc w:val="center"/>
        <w:rPr>
          <w:rFonts w:hint="eastAsia" w:ascii="宋体" w:hAnsi="宋体" w:eastAsia="宋体" w:cs="宋体"/>
          <w:color w:val="auto"/>
          <w:sz w:val="24"/>
          <w:szCs w:val="24"/>
          <w:highlight w:val="none"/>
        </w:rPr>
      </w:pPr>
      <w:r>
        <w:rPr>
          <w:rFonts w:hint="eastAsia" w:ascii="宋体" w:hAnsi="宋体" w:eastAsia="宋体" w:cs="宋体"/>
          <w:b/>
          <w:color w:val="auto"/>
          <w:sz w:val="32"/>
          <w:szCs w:val="32"/>
          <w:highlight w:val="none"/>
        </w:rPr>
        <w:t xml:space="preserve">报价一览表</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供应商全称（加盖CA电子签章）：</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项目名称：</w:t>
      </w:r>
      <w:r>
        <w:rPr>
          <w:rFonts w:hint="eastAsia" w:ascii="宋体" w:hAnsi="宋体" w:eastAsia="宋体" w:cs="宋体"/>
          <w:color w:val="auto"/>
          <w:sz w:val="24"/>
          <w:szCs w:val="24"/>
          <w:highlight w:val="none"/>
          <w:lang w:eastAsia="zh-CN"/>
        </w:rPr>
        <w:t xml:space="preserve">宿迁市市辖区第二轮生物多样性本底调查项目</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项目</w:t>
      </w:r>
      <w:r>
        <w:rPr>
          <w:rFonts w:hint="eastAsia" w:ascii="宋体" w:hAnsi="宋体" w:eastAsia="宋体" w:cs="宋体"/>
          <w:color w:val="auto"/>
          <w:sz w:val="24"/>
          <w:szCs w:val="24"/>
          <w:highlight w:val="none"/>
        </w:rPr>
        <w:t xml:space="preserve">编号：</w:t>
      </w:r>
      <w:r>
        <w:rPr>
          <w:rFonts w:hint="eastAsia" w:ascii="宋体" w:hAnsi="宋体" w:cs="宋体"/>
          <w:color w:val="auto"/>
          <w:sz w:val="24"/>
          <w:szCs w:val="24"/>
          <w:highlight w:val="none"/>
          <w:lang w:eastAsia="zh-CN"/>
        </w:rPr>
        <w:t xml:space="preserve">JSZC-321300-JSKJ-C2026-0012</w:t>
      </w:r>
      <w:r/>
    </w:p>
    <w:tbl>
      <w:tblPr>
        <w:tblStyle w:val="735"/>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06"/>
      </w:tblGrid>
      <w:tr>
        <w:trPr>
          <w:cantSplit/>
          <w:jc w:val="center"/>
          <w:trHeight w:val="725"/>
        </w:trPr>
        <w:tc>
          <w:tcPr>
            <w:tcW w:w="820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投标总报价</w:t>
            </w:r>
            <w:r/>
          </w:p>
        </w:tc>
      </w:tr>
      <w:tr>
        <w:trPr>
          <w:cantSplit/>
          <w:jc w:val="center"/>
          <w:trHeight w:val="612"/>
        </w:trPr>
        <w:tc>
          <w:tcPr>
            <w:tcW w:w="8206" w:type="dxa"/>
            <w:vAlign w:val="center"/>
            <w:textDirection w:val="lrTb"/>
            <w:noWrap w:val="false"/>
          </w:tcPr>
          <w:p>
            <w:pPr>
              <w:pStyle w:val="1041"/>
              <w:ind w:firstLine="0"/>
              <w:spacing w:before="0" w:after="0" w:line="500" w:lineRule="exact"/>
              <w:rPr>
                <w:rFonts w:hint="eastAsia" w:ascii="宋体" w:hAnsi="宋体" w:eastAsia="宋体" w:cs="宋体"/>
                <w:color w:val="auto"/>
                <w:szCs w:val="21"/>
                <w:highlight w:val="none"/>
              </w:rPr>
            </w:pPr>
            <w:r>
              <w:rPr>
                <w:rFonts w:hint="eastAsia" w:ascii="宋体" w:hAnsi="宋体" w:eastAsia="宋体" w:cs="宋体"/>
                <w:color w:val="auto"/>
                <w:highlight w:val="none"/>
              </w:rPr>
              <w:t xml:space="preserve">小写：</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 xml:space="preserve">（人民币：元）</w:t>
            </w:r>
            <w:r/>
          </w:p>
        </w:tc>
      </w:tr>
    </w:tbl>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 xml:space="preserve">月</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 xml:space="preserve">日</w:t>
      </w:r>
      <w:r/>
    </w:p>
    <w:p>
      <w:pPr>
        <w:jc w:val="left"/>
        <w:spacing w:line="560" w:lineRule="exact"/>
        <w:rPr>
          <w:rFonts w:hint="eastAsia" w:ascii="宋体" w:hAnsi="宋体" w:eastAsia="宋体" w:cs="宋体"/>
          <w:b/>
          <w:iCs/>
          <w:color w:val="auto"/>
          <w:sz w:val="32"/>
          <w:szCs w:val="32"/>
          <w:highlight w:val="none"/>
        </w:rPr>
        <w:outlineLvl w:val="1"/>
      </w:pPr>
      <w:r>
        <w:rPr>
          <w:rFonts w:hint="eastAsia" w:ascii="宋体" w:hAnsi="宋体" w:eastAsia="宋体" w:cs="宋体"/>
          <w:b/>
          <w:iCs/>
          <w:color w:val="auto"/>
          <w:sz w:val="32"/>
          <w:szCs w:val="32"/>
          <w:highlight w:val="none"/>
        </w:rPr>
        <w:br w:type="page" w:clear="all"/>
      </w:r>
      <w:bookmarkStart w:id="229" w:name="_Toc1681"/>
      <w:r>
        <w:rPr>
          <w:rFonts w:hint="eastAsia" w:ascii="宋体" w:hAnsi="宋体" w:eastAsia="宋体" w:cs="宋体"/>
          <w:b/>
          <w:iCs/>
          <w:color w:val="auto"/>
          <w:sz w:val="32"/>
          <w:szCs w:val="32"/>
          <w:highlight w:val="none"/>
        </w:rPr>
        <w:t xml:space="preserve">七、分项报价表（服务类）</w:t>
      </w:r>
      <w:bookmarkEnd w:id="229"/>
      <w:r/>
      <w:r/>
    </w:p>
    <w:p>
      <w:pPr>
        <w:jc w:val="center"/>
        <w:spacing w:before="146" w:after="146" w:line="460" w:lineRule="exac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分项报价表（服务类）</w:t>
      </w:r>
      <w:r/>
    </w:p>
    <w:tbl>
      <w:tblPr>
        <w:tblStyle w:val="735"/>
        <w:tblW w:w="838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19"/>
        <w:gridCol w:w="2110"/>
        <w:gridCol w:w="1459"/>
        <w:gridCol w:w="1022"/>
        <w:gridCol w:w="1650"/>
        <w:gridCol w:w="1228"/>
      </w:tblGrid>
      <w:tr>
        <w:trPr>
          <w:jc w:val="center"/>
          <w:trHeight w:val="775" w:hRule="exact"/>
        </w:trPr>
        <w:tc>
          <w:tcPr>
            <w:tcW w:w="919" w:type="dxa"/>
            <w:vAlign w:val="center"/>
            <w:textDirection w:val="lrTb"/>
            <w:noWrap w:val="false"/>
          </w:tcPr>
          <w:p>
            <w:pPr>
              <w:jc w:val="center"/>
              <w:spacing w:line="32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序号</w:t>
            </w:r>
            <w:r/>
          </w:p>
        </w:tc>
        <w:tc>
          <w:tcPr>
            <w:tcW w:w="2110" w:type="dxa"/>
            <w:vAlign w:val="center"/>
            <w:textDirection w:val="lrTb"/>
            <w:noWrap w:val="false"/>
          </w:tcPr>
          <w:p>
            <w:pPr>
              <w:jc w:val="center"/>
              <w:spacing w:line="32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费用名称及简述</w:t>
            </w:r>
            <w:r/>
          </w:p>
        </w:tc>
        <w:tc>
          <w:tcPr>
            <w:tcW w:w="1459" w:type="dxa"/>
            <w:vAlign w:val="center"/>
            <w:textDirection w:val="lrTb"/>
            <w:noWrap w:val="false"/>
          </w:tcPr>
          <w:p>
            <w:pPr>
              <w:jc w:val="center"/>
              <w:spacing w:line="32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单价（元）</w:t>
            </w:r>
            <w:r/>
          </w:p>
        </w:tc>
        <w:tc>
          <w:tcPr>
            <w:tcW w:w="1022" w:type="dxa"/>
            <w:vAlign w:val="center"/>
            <w:textDirection w:val="lrTb"/>
            <w:noWrap w:val="false"/>
          </w:tcPr>
          <w:p>
            <w:pPr>
              <w:jc w:val="center"/>
              <w:spacing w:line="32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rPr>
              <w:t xml:space="preserve">数量</w:t>
            </w:r>
            <w:r>
              <w:rPr>
                <w:rFonts w:hint="eastAsia" w:ascii="宋体" w:hAnsi="宋体" w:eastAsia="宋体" w:cs="宋体"/>
                <w:bCs/>
                <w:color w:val="auto"/>
                <w:sz w:val="24"/>
                <w:szCs w:val="24"/>
                <w:highlight w:val="none"/>
                <w:lang w:val="en-US" w:eastAsia="zh-CN"/>
              </w:rPr>
              <w:t xml:space="preserve">及单位</w:t>
            </w:r>
            <w:r/>
          </w:p>
        </w:tc>
        <w:tc>
          <w:tcPr>
            <w:tcW w:w="1650" w:type="dxa"/>
            <w:vAlign w:val="center"/>
            <w:textDirection w:val="lrTb"/>
            <w:noWrap w:val="false"/>
          </w:tcPr>
          <w:p>
            <w:pPr>
              <w:jc w:val="center"/>
              <w:spacing w:line="32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合价（元）</w:t>
            </w:r>
            <w:r/>
          </w:p>
        </w:tc>
        <w:tc>
          <w:tcPr>
            <w:tcW w:w="1228" w:type="dxa"/>
            <w:vAlign w:val="center"/>
            <w:textDirection w:val="lrTb"/>
            <w:noWrap w:val="false"/>
          </w:tcPr>
          <w:p>
            <w:pPr>
              <w:jc w:val="center"/>
              <w:spacing w:line="32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备注</w:t>
            </w:r>
            <w:r/>
          </w:p>
        </w:tc>
      </w:tr>
      <w:tr>
        <w:trPr>
          <w:jc w:val="center"/>
          <w:trHeight w:val="454" w:hRule="exact"/>
        </w:trPr>
        <w:tc>
          <w:tcPr>
            <w:tcW w:w="919" w:type="dxa"/>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W w:w="2110" w:type="dxa"/>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59" w:type="dxa"/>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22" w:type="dxa"/>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650" w:type="dxa"/>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28" w:type="dxa"/>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454" w:hRule="exact"/>
        </w:trPr>
        <w:tc>
          <w:tcPr>
            <w:tcW w:w="919" w:type="dxa"/>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W w:w="2110" w:type="dxa"/>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59" w:type="dxa"/>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22" w:type="dxa"/>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650" w:type="dxa"/>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28" w:type="dxa"/>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454" w:hRule="exact"/>
        </w:trPr>
        <w:tc>
          <w:tcPr>
            <w:tcW w:w="919" w:type="dxa"/>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tcW w:w="2110" w:type="dxa"/>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59" w:type="dxa"/>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22" w:type="dxa"/>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650" w:type="dxa"/>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28" w:type="dxa"/>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454" w:hRule="exact"/>
        </w:trPr>
        <w:tc>
          <w:tcPr>
            <w:tcW w:w="919" w:type="dxa"/>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p>
        </w:tc>
        <w:tc>
          <w:tcPr>
            <w:tcW w:w="2110" w:type="dxa"/>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59" w:type="dxa"/>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22" w:type="dxa"/>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650" w:type="dxa"/>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28" w:type="dxa"/>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454" w:hRule="exact"/>
        </w:trPr>
        <w:tc>
          <w:tcPr>
            <w:tcW w:w="919" w:type="dxa"/>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p>
        </w:tc>
        <w:tc>
          <w:tcPr>
            <w:tcW w:w="2110" w:type="dxa"/>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59" w:type="dxa"/>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22" w:type="dxa"/>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650" w:type="dxa"/>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28" w:type="dxa"/>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367" w:hRule="exact"/>
        </w:trPr>
        <w:tc>
          <w:tcPr>
            <w:tcW w:w="919" w:type="dxa"/>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w:t>
            </w:r>
            <w:r/>
          </w:p>
        </w:tc>
        <w:tc>
          <w:tcPr>
            <w:tcW w:w="2110" w:type="dxa"/>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59" w:type="dxa"/>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22" w:type="dxa"/>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650" w:type="dxa"/>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28" w:type="dxa"/>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454" w:hRule="exact"/>
        </w:trPr>
        <w:tc>
          <w:tcPr>
            <w:tcW w:w="919" w:type="dxa"/>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w:t>
            </w:r>
            <w:r/>
          </w:p>
        </w:tc>
        <w:tc>
          <w:tcPr>
            <w:tcW w:w="2110" w:type="dxa"/>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59" w:type="dxa"/>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22" w:type="dxa"/>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650" w:type="dxa"/>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28" w:type="dxa"/>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454" w:hRule="exact"/>
        </w:trPr>
        <w:tc>
          <w:tcPr>
            <w:tcW w:w="919" w:type="dxa"/>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w:t>
            </w:r>
            <w:r/>
          </w:p>
        </w:tc>
        <w:tc>
          <w:tcPr>
            <w:tcW w:w="2110" w:type="dxa"/>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59" w:type="dxa"/>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22" w:type="dxa"/>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650" w:type="dxa"/>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28" w:type="dxa"/>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454" w:hRule="exact"/>
        </w:trPr>
        <w:tc>
          <w:tcPr>
            <w:tcW w:w="919" w:type="dxa"/>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w:t>
            </w:r>
            <w:r/>
          </w:p>
        </w:tc>
        <w:tc>
          <w:tcPr>
            <w:tcW w:w="2110" w:type="dxa"/>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59" w:type="dxa"/>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22" w:type="dxa"/>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650" w:type="dxa"/>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28" w:type="dxa"/>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383" w:hRule="exact"/>
        </w:trPr>
        <w:tc>
          <w:tcPr>
            <w:tcW w:w="919" w:type="dxa"/>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w:t>
            </w:r>
            <w:r/>
          </w:p>
        </w:tc>
        <w:tc>
          <w:tcPr>
            <w:tcW w:w="2110" w:type="dxa"/>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59" w:type="dxa"/>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22" w:type="dxa"/>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650" w:type="dxa"/>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28" w:type="dxa"/>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383" w:hRule="exact"/>
        </w:trPr>
        <w:tc>
          <w:tcPr>
            <w:gridSpan w:val="4"/>
            <w:tcW w:w="5510" w:type="dxa"/>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投标总报价（人民币：元）</w:t>
            </w:r>
            <w:r/>
          </w:p>
        </w:tc>
        <w:tc>
          <w:tcPr>
            <w:tcW w:w="1650" w:type="dxa"/>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28" w:type="dxa"/>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1"/>
          <w:highlight w:val="none"/>
        </w:rPr>
      </w:pPr>
      <w:r>
        <w:rPr>
          <w:rFonts w:hint="eastAsia" w:ascii="宋体" w:hAnsi="宋体" w:eastAsia="宋体" w:cs="宋体"/>
          <w:color w:val="auto"/>
          <w:sz w:val="24"/>
          <w:szCs w:val="24"/>
          <w:highlight w:val="none"/>
        </w:rPr>
        <w:t xml:space="preserve">备注：1.</w:t>
      </w:r>
      <w:r>
        <w:rPr>
          <w:rFonts w:hint="eastAsia" w:ascii="宋体" w:hAnsi="宋体" w:eastAsia="宋体" w:cs="宋体"/>
          <w:color w:val="auto"/>
          <w:sz w:val="24"/>
          <w:szCs w:val="21"/>
          <w:highlight w:val="none"/>
          <w:lang w:eastAsia="zh-CN"/>
        </w:rPr>
        <w:t xml:space="preserve">磋商报价</w:t>
      </w:r>
      <w:r>
        <w:rPr>
          <w:rFonts w:hint="eastAsia" w:ascii="宋体" w:hAnsi="宋体" w:eastAsia="宋体" w:cs="宋体"/>
          <w:color w:val="auto"/>
          <w:sz w:val="24"/>
          <w:szCs w:val="21"/>
          <w:highlight w:val="none"/>
        </w:rPr>
        <w:t xml:space="preserve">采用总承包方式，供应商的</w:t>
      </w:r>
      <w:r>
        <w:rPr>
          <w:rFonts w:hint="eastAsia" w:ascii="宋体" w:hAnsi="宋体" w:eastAsia="宋体" w:cs="宋体"/>
          <w:color w:val="auto"/>
          <w:sz w:val="24"/>
          <w:szCs w:val="24"/>
          <w:highlight w:val="none"/>
        </w:rPr>
        <w:t xml:space="preserve">“总报价”</w:t>
      </w:r>
      <w:r>
        <w:rPr>
          <w:rFonts w:hint="eastAsia" w:ascii="宋体" w:hAnsi="宋体" w:eastAsia="宋体" w:cs="宋体"/>
          <w:color w:val="auto"/>
          <w:sz w:val="24"/>
          <w:szCs w:val="21"/>
          <w:highlight w:val="none"/>
        </w:rPr>
        <w:t xml:space="preserve">应包括完成该项目的成本、设备费、人工费、利润、税金、技术措施费、资料增加成本费、风险费、管理费、技术培训、咨询、市场风险及政策性调整及合同包含的所有风险、责任等所有费用。</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2.“投标分项报价表”中“投标总报价”数额应当与“报价一览表”中“投标总报价”数额一致。</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b/>
          <w:iCs/>
          <w:color w:val="auto"/>
          <w:sz w:val="32"/>
          <w:szCs w:val="32"/>
          <w:highlight w:val="none"/>
        </w:rPr>
      </w:pPr>
      <w:r>
        <w:rPr>
          <w:rFonts w:hint="eastAsia" w:ascii="宋体" w:hAnsi="宋体" w:eastAsia="宋体" w:cs="宋体"/>
          <w:b/>
          <w:iCs/>
          <w:color w:val="auto"/>
          <w:sz w:val="32"/>
          <w:szCs w:val="32"/>
          <w:highlight w:val="none"/>
        </w:rPr>
        <w:br w:type="page" w:clear="all"/>
      </w:r>
      <w:r/>
    </w:p>
    <w:p>
      <w:pPr>
        <w:jc w:val="left"/>
        <w:spacing w:line="560" w:lineRule="exact"/>
        <w:rPr>
          <w:rFonts w:hint="eastAsia" w:ascii="宋体" w:hAnsi="宋体" w:eastAsia="宋体" w:cs="宋体"/>
          <w:b/>
          <w:iCs/>
          <w:color w:val="auto"/>
          <w:sz w:val="32"/>
          <w:szCs w:val="32"/>
          <w:highlight w:val="none"/>
        </w:rPr>
        <w:outlineLvl w:val="1"/>
      </w:pPr>
      <w:r/>
      <w:bookmarkStart w:id="230" w:name="_Toc5580"/>
      <w:r>
        <w:rPr>
          <w:rFonts w:hint="eastAsia" w:ascii="宋体" w:hAnsi="宋体" w:eastAsia="宋体" w:cs="宋体"/>
          <w:b/>
          <w:iCs/>
          <w:color w:val="auto"/>
          <w:sz w:val="32"/>
          <w:szCs w:val="32"/>
          <w:highlight w:val="none"/>
        </w:rPr>
        <w:t xml:space="preserve">八、响应及偏离表</w:t>
      </w:r>
      <w:bookmarkEnd w:id="230"/>
      <w:r/>
      <w:r/>
    </w:p>
    <w:p>
      <w:pPr>
        <w:jc w:val="center"/>
        <w:spacing w:line="460" w:lineRule="exac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center"/>
        <w:spacing w:line="460" w:lineRule="exac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响应及偏离表</w:t>
      </w:r>
      <w:bookmarkEnd w:id="220"/>
      <w:r/>
      <w:r/>
    </w:p>
    <w:tbl>
      <w:tblPr>
        <w:tblStyle w:val="735"/>
        <w:tblW w:w="0" w:type="auto"/>
        <w:tblInd w:w="-117" w:type="dxa"/>
        <w:tblLayout w:type="autofit"/>
        <w:tblCellMar>
          <w:left w:w="108" w:type="dxa"/>
          <w:top w:w="0" w:type="dxa"/>
          <w:right w:w="108" w:type="dxa"/>
          <w:bottom w:w="0" w:type="dxa"/>
        </w:tblCellMar>
        <w:tblLook w:val="04A0" w:firstRow="1" w:lastRow="0" w:firstColumn="1" w:lastColumn="0" w:noHBand="0" w:noVBand="1"/>
      </w:tblPr>
      <w:tblGrid>
        <w:gridCol w:w="2263"/>
        <w:gridCol w:w="1963"/>
        <w:gridCol w:w="2848"/>
        <w:gridCol w:w="2212"/>
      </w:tblGrid>
      <w:tr>
        <w:trPr>
          <w:trHeight w:val="665"/>
        </w:trPr>
        <w:tc>
          <w:tcPr>
            <w:tcBorders>
              <w:top w:val="single" w:color="000000" w:sz="8" w:space="0"/>
              <w:left w:val="single" w:color="000000" w:sz="8" w:space="0"/>
              <w:bottom w:val="single" w:color="000000" w:sz="8" w:space="0"/>
              <w:right w:val="single" w:color="000000" w:sz="8" w:space="0"/>
            </w:tcBorders>
            <w:tcW w:w="2263" w:type="dxa"/>
            <w:vAlign w:val="center"/>
            <w:textDirection w:val="lrTb"/>
            <w:noWrap w:val="false"/>
          </w:tcPr>
          <w:p>
            <w:pPr>
              <w:jc w:val="center"/>
              <w:spacing w:before="100" w:line="559" w:lineRule="atLeast"/>
              <w:rPr>
                <w:rFonts w:hint="eastAsia" w:ascii="宋体" w:hAnsi="宋体" w:eastAsia="宋体" w:cs="宋体"/>
                <w:color w:val="auto"/>
                <w:highlight w:val="none"/>
              </w:rPr>
            </w:pPr>
            <w:r/>
            <w:bookmarkStart w:id="231" w:name="_Hlt26782999"/>
            <w:r/>
            <w:bookmarkEnd w:id="231"/>
            <w:r/>
            <w:bookmarkStart w:id="232" w:name="_Hlt26955056"/>
            <w:r/>
            <w:bookmarkEnd w:id="232"/>
            <w:r/>
            <w:bookmarkStart w:id="233" w:name="_Hlt26580838"/>
            <w:r/>
            <w:bookmarkEnd w:id="233"/>
            <w:r/>
            <w:bookmarkStart w:id="234" w:name="_Hlt26671372"/>
            <w:r/>
            <w:bookmarkEnd w:id="234"/>
            <w:r/>
            <w:bookmarkStart w:id="235" w:name="_Hlt26955054"/>
            <w:r/>
            <w:bookmarkEnd w:id="235"/>
            <w:r/>
            <w:bookmarkStart w:id="236" w:name="_Hlt24879081"/>
            <w:r/>
            <w:bookmarkEnd w:id="236"/>
            <w:r/>
            <w:bookmarkStart w:id="237" w:name="_Hlt26609391"/>
            <w:r/>
            <w:bookmarkEnd w:id="237"/>
            <w:r/>
            <w:bookmarkStart w:id="238" w:name="_Hlt26671343"/>
            <w:r/>
            <w:bookmarkEnd w:id="238"/>
            <w:r/>
            <w:bookmarkStart w:id="239" w:name="_Hlt26955064"/>
            <w:r/>
            <w:bookmarkEnd w:id="239"/>
            <w:r>
              <w:rPr>
                <w:rFonts w:hint="eastAsia" w:ascii="宋体" w:hAnsi="宋体" w:eastAsia="宋体" w:cs="宋体"/>
                <w:color w:val="auto"/>
                <w:sz w:val="28"/>
                <w:highlight w:val="none"/>
              </w:rPr>
              <w:t xml:space="preserve">磋商文件内容</w:t>
            </w:r>
            <w:r/>
          </w:p>
        </w:tc>
        <w:tc>
          <w:tcPr>
            <w:tcBorders>
              <w:top w:val="single" w:color="000000" w:sz="8" w:space="0"/>
              <w:left w:val="none" w:color="000000" w:sz="4" w:space="0"/>
              <w:bottom w:val="single" w:color="000000" w:sz="8" w:space="0"/>
              <w:right w:val="single" w:color="000000" w:sz="8" w:space="0"/>
            </w:tcBorders>
            <w:tcW w:w="1963" w:type="dxa"/>
            <w:vAlign w:val="center"/>
            <w:textDirection w:val="lrTb"/>
            <w:noWrap w:val="false"/>
          </w:tcPr>
          <w:p>
            <w:pPr>
              <w:jc w:val="center"/>
              <w:spacing w:before="100" w:line="559" w:lineRule="atLeast"/>
              <w:rPr>
                <w:rFonts w:hint="eastAsia" w:ascii="宋体" w:hAnsi="宋体" w:eastAsia="宋体" w:cs="宋体"/>
                <w:color w:val="auto"/>
                <w:highlight w:val="none"/>
              </w:rPr>
            </w:pPr>
            <w:r>
              <w:rPr>
                <w:rFonts w:hint="eastAsia" w:ascii="宋体" w:hAnsi="宋体" w:eastAsia="宋体" w:cs="宋体"/>
                <w:color w:val="auto"/>
                <w:sz w:val="28"/>
                <w:highlight w:val="none"/>
              </w:rPr>
              <w:t xml:space="preserve">响应文件内容</w:t>
            </w:r>
            <w:r/>
          </w:p>
        </w:tc>
        <w:tc>
          <w:tcPr>
            <w:tcBorders>
              <w:top w:val="single" w:color="000000" w:sz="8" w:space="0"/>
              <w:left w:val="none" w:color="000000" w:sz="4" w:space="0"/>
              <w:bottom w:val="single" w:color="000000" w:sz="8" w:space="0"/>
              <w:right w:val="single" w:color="000000" w:sz="8" w:space="0"/>
            </w:tcBorders>
            <w:tcW w:w="2848" w:type="dxa"/>
            <w:vAlign w:val="center"/>
            <w:textDirection w:val="lrTb"/>
            <w:noWrap w:val="false"/>
          </w:tcPr>
          <w:p>
            <w:pPr>
              <w:jc w:val="center"/>
              <w:spacing w:before="100" w:line="400" w:lineRule="exact"/>
              <w:rPr>
                <w:rFonts w:hint="eastAsia" w:ascii="宋体" w:hAnsi="宋体" w:eastAsia="宋体" w:cs="宋体"/>
                <w:color w:val="auto"/>
                <w:sz w:val="28"/>
                <w:highlight w:val="none"/>
              </w:rPr>
            </w:pPr>
            <w:r>
              <w:rPr>
                <w:rFonts w:hint="eastAsia" w:ascii="宋体" w:hAnsi="宋体" w:eastAsia="宋体" w:cs="宋体"/>
                <w:color w:val="auto"/>
                <w:sz w:val="28"/>
                <w:highlight w:val="none"/>
              </w:rPr>
              <w:t xml:space="preserve">偏离情况（</w:t>
            </w:r>
            <w:r>
              <w:rPr>
                <w:rFonts w:hint="eastAsia" w:ascii="宋体" w:hAnsi="宋体" w:eastAsia="宋体" w:cs="宋体"/>
                <w:b/>
                <w:color w:val="auto"/>
                <w:sz w:val="24"/>
                <w:highlight w:val="none"/>
              </w:rPr>
              <w:t xml:space="preserve">正偏离、负偏离、无偏离</w:t>
            </w:r>
            <w:r>
              <w:rPr>
                <w:rFonts w:hint="eastAsia" w:ascii="宋体" w:hAnsi="宋体" w:eastAsia="宋体" w:cs="宋体"/>
                <w:color w:val="auto"/>
                <w:sz w:val="28"/>
                <w:highlight w:val="none"/>
              </w:rPr>
              <w:t xml:space="preserve">）</w:t>
            </w:r>
            <w:r/>
          </w:p>
        </w:tc>
        <w:tc>
          <w:tcPr>
            <w:tcBorders>
              <w:top w:val="single" w:color="000000" w:sz="8" w:space="0"/>
              <w:left w:val="none" w:color="000000" w:sz="4" w:space="0"/>
              <w:bottom w:val="single" w:color="000000" w:sz="8" w:space="0"/>
              <w:right w:val="single" w:color="000000" w:sz="8" w:space="0"/>
            </w:tcBorders>
            <w:tcW w:w="2212" w:type="dxa"/>
            <w:vAlign w:val="center"/>
            <w:textDirection w:val="lrTb"/>
            <w:noWrap w:val="false"/>
          </w:tcPr>
          <w:p>
            <w:pPr>
              <w:jc w:val="center"/>
              <w:spacing w:before="100" w:line="559" w:lineRule="atLeast"/>
              <w:rPr>
                <w:rFonts w:hint="eastAsia" w:ascii="宋体" w:hAnsi="宋体" w:eastAsia="宋体" w:cs="宋体"/>
                <w:color w:val="auto"/>
                <w:highlight w:val="none"/>
              </w:rPr>
            </w:pPr>
            <w:r>
              <w:rPr>
                <w:rFonts w:hint="eastAsia" w:ascii="宋体" w:hAnsi="宋体" w:eastAsia="宋体" w:cs="宋体"/>
                <w:color w:val="auto"/>
                <w:sz w:val="28"/>
                <w:highlight w:val="none"/>
              </w:rPr>
              <w:t xml:space="preserve">偏离内容及说明</w:t>
            </w:r>
            <w:r/>
          </w:p>
        </w:tc>
      </w:tr>
      <w:tr>
        <w:trPr>
          <w:trHeight w:val="665"/>
        </w:trPr>
        <w:tc>
          <w:tcPr>
            <w:tcBorders>
              <w:top w:val="none" w:color="000000" w:sz="4" w:space="0"/>
              <w:left w:val="single" w:color="000000" w:sz="8" w:space="0"/>
              <w:bottom w:val="single" w:color="000000" w:sz="8" w:space="0"/>
              <w:right w:val="single" w:color="000000" w:sz="8" w:space="0"/>
            </w:tcBorders>
            <w:tcW w:w="2263" w:type="dxa"/>
            <w:vAlign w:val="center"/>
            <w:textDirection w:val="lrTb"/>
            <w:noWrap w:val="false"/>
          </w:tcPr>
          <w:p>
            <w:pPr>
              <w:jc w:val="center"/>
              <w:spacing w:line="559" w:lineRule="atLeast"/>
              <w:rPr>
                <w:rFonts w:hint="eastAsia" w:ascii="宋体" w:hAnsi="宋体" w:eastAsia="宋体" w:cs="宋体"/>
                <w:color w:val="auto"/>
                <w:highlight w:val="none"/>
              </w:rPr>
            </w:pPr>
            <w:r>
              <w:rPr>
                <w:rFonts w:hint="eastAsia" w:ascii="宋体" w:hAnsi="宋体" w:eastAsia="宋体" w:cs="宋体"/>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1963" w:type="dxa"/>
            <w:vAlign w:val="center"/>
            <w:textDirection w:val="lrTb"/>
            <w:noWrap w:val="false"/>
          </w:tcPr>
          <w:p>
            <w:pPr>
              <w:jc w:val="center"/>
              <w:spacing w:line="559" w:lineRule="atLeast"/>
              <w:rPr>
                <w:rFonts w:hint="eastAsia" w:ascii="宋体" w:hAnsi="宋体" w:eastAsia="宋体" w:cs="宋体"/>
                <w:color w:val="auto"/>
                <w:highlight w:val="none"/>
              </w:rPr>
            </w:pPr>
            <w:r>
              <w:rPr>
                <w:rFonts w:hint="eastAsia" w:ascii="宋体" w:hAnsi="宋体" w:eastAsia="宋体" w:cs="宋体"/>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2848" w:type="dxa"/>
            <w:vAlign w:val="center"/>
            <w:textDirection w:val="lrTb"/>
            <w:noWrap w:val="false"/>
          </w:tcPr>
          <w:p>
            <w:pPr>
              <w:jc w:val="center"/>
              <w:spacing w:line="559" w:lineRule="atLeas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none" w:color="000000" w:sz="4" w:space="0"/>
              <w:left w:val="none" w:color="000000" w:sz="4" w:space="0"/>
              <w:bottom w:val="single" w:color="000000" w:sz="8" w:space="0"/>
              <w:right w:val="single" w:color="000000" w:sz="8" w:space="0"/>
            </w:tcBorders>
            <w:tcW w:w="2212" w:type="dxa"/>
            <w:vAlign w:val="center"/>
            <w:textDirection w:val="lrTb"/>
            <w:noWrap w:val="false"/>
          </w:tcPr>
          <w:p>
            <w:pPr>
              <w:jc w:val="center"/>
              <w:spacing w:line="559" w:lineRule="atLeast"/>
              <w:rPr>
                <w:rFonts w:hint="eastAsia" w:ascii="宋体" w:hAnsi="宋体" w:eastAsia="宋体" w:cs="宋体"/>
                <w:color w:val="auto"/>
                <w:highlight w:val="none"/>
              </w:rPr>
            </w:pPr>
            <w:r>
              <w:rPr>
                <w:rFonts w:hint="eastAsia" w:ascii="宋体" w:hAnsi="宋体" w:eastAsia="宋体" w:cs="宋体"/>
                <w:color w:val="auto"/>
                <w:sz w:val="24"/>
                <w:highlight w:val="non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263" w:type="dxa"/>
            <w:vAlign w:val="center"/>
            <w:textDirection w:val="lrTb"/>
            <w:noWrap w:val="false"/>
          </w:tcPr>
          <w:p>
            <w:pPr>
              <w:jc w:val="center"/>
              <w:spacing w:line="559" w:lineRule="atLeast"/>
              <w:rPr>
                <w:rFonts w:hint="eastAsia" w:ascii="宋体" w:hAnsi="宋体" w:eastAsia="宋体" w:cs="宋体"/>
                <w:color w:val="auto"/>
                <w:highlight w:val="none"/>
              </w:rPr>
            </w:pPr>
            <w:r>
              <w:rPr>
                <w:rFonts w:hint="eastAsia" w:ascii="宋体" w:hAnsi="宋体" w:eastAsia="宋体" w:cs="宋体"/>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1963" w:type="dxa"/>
            <w:vAlign w:val="center"/>
            <w:textDirection w:val="lrTb"/>
            <w:noWrap w:val="false"/>
          </w:tcPr>
          <w:p>
            <w:pPr>
              <w:jc w:val="center"/>
              <w:spacing w:line="559" w:lineRule="atLeast"/>
              <w:rPr>
                <w:rFonts w:hint="eastAsia" w:ascii="宋体" w:hAnsi="宋体" w:eastAsia="宋体" w:cs="宋体"/>
                <w:color w:val="auto"/>
                <w:highlight w:val="none"/>
              </w:rPr>
            </w:pPr>
            <w:r>
              <w:rPr>
                <w:rFonts w:hint="eastAsia" w:ascii="宋体" w:hAnsi="宋体" w:eastAsia="宋体" w:cs="宋体"/>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2848" w:type="dxa"/>
            <w:vAlign w:val="center"/>
            <w:textDirection w:val="lrTb"/>
            <w:noWrap w:val="false"/>
          </w:tcPr>
          <w:p>
            <w:pPr>
              <w:jc w:val="center"/>
              <w:spacing w:line="559" w:lineRule="atLeas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none" w:color="000000" w:sz="4" w:space="0"/>
              <w:left w:val="none" w:color="000000" w:sz="4" w:space="0"/>
              <w:bottom w:val="single" w:color="000000" w:sz="8" w:space="0"/>
              <w:right w:val="single" w:color="000000" w:sz="8" w:space="0"/>
            </w:tcBorders>
            <w:tcW w:w="2212" w:type="dxa"/>
            <w:vAlign w:val="center"/>
            <w:textDirection w:val="lrTb"/>
            <w:noWrap w:val="false"/>
          </w:tcPr>
          <w:p>
            <w:pPr>
              <w:jc w:val="center"/>
              <w:spacing w:line="559" w:lineRule="atLeast"/>
              <w:rPr>
                <w:rFonts w:hint="eastAsia" w:ascii="宋体" w:hAnsi="宋体" w:eastAsia="宋体" w:cs="宋体"/>
                <w:color w:val="auto"/>
                <w:highlight w:val="none"/>
              </w:rPr>
            </w:pPr>
            <w:r>
              <w:rPr>
                <w:rFonts w:hint="eastAsia" w:ascii="宋体" w:hAnsi="宋体" w:eastAsia="宋体" w:cs="宋体"/>
                <w:color w:val="auto"/>
                <w:sz w:val="24"/>
                <w:highlight w:val="non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263" w:type="dxa"/>
            <w:vAlign w:val="center"/>
            <w:textDirection w:val="lrTb"/>
            <w:noWrap w:val="false"/>
          </w:tcPr>
          <w:p>
            <w:pPr>
              <w:jc w:val="center"/>
              <w:spacing w:line="559" w:lineRule="atLeast"/>
              <w:rPr>
                <w:rFonts w:hint="eastAsia" w:ascii="宋体" w:hAnsi="宋体" w:eastAsia="宋体" w:cs="宋体"/>
                <w:color w:val="auto"/>
                <w:highlight w:val="none"/>
              </w:rPr>
            </w:pPr>
            <w:r>
              <w:rPr>
                <w:rFonts w:hint="eastAsia" w:ascii="宋体" w:hAnsi="宋体" w:eastAsia="宋体" w:cs="宋体"/>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1963" w:type="dxa"/>
            <w:vAlign w:val="center"/>
            <w:textDirection w:val="lrTb"/>
            <w:noWrap w:val="false"/>
          </w:tcPr>
          <w:p>
            <w:pPr>
              <w:jc w:val="center"/>
              <w:spacing w:line="559" w:lineRule="atLeast"/>
              <w:rPr>
                <w:rFonts w:hint="eastAsia" w:ascii="宋体" w:hAnsi="宋体" w:eastAsia="宋体" w:cs="宋体"/>
                <w:color w:val="auto"/>
                <w:highlight w:val="none"/>
              </w:rPr>
            </w:pPr>
            <w:r>
              <w:rPr>
                <w:rFonts w:hint="eastAsia" w:ascii="宋体" w:hAnsi="宋体" w:eastAsia="宋体" w:cs="宋体"/>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2848" w:type="dxa"/>
            <w:vAlign w:val="center"/>
            <w:textDirection w:val="lrTb"/>
            <w:noWrap w:val="false"/>
          </w:tcPr>
          <w:p>
            <w:pPr>
              <w:jc w:val="center"/>
              <w:spacing w:line="559" w:lineRule="atLeas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none" w:color="000000" w:sz="4" w:space="0"/>
              <w:left w:val="none" w:color="000000" w:sz="4" w:space="0"/>
              <w:bottom w:val="single" w:color="000000" w:sz="8" w:space="0"/>
              <w:right w:val="single" w:color="000000" w:sz="8" w:space="0"/>
            </w:tcBorders>
            <w:tcW w:w="2212" w:type="dxa"/>
            <w:vAlign w:val="center"/>
            <w:textDirection w:val="lrTb"/>
            <w:noWrap w:val="false"/>
          </w:tcPr>
          <w:p>
            <w:pPr>
              <w:jc w:val="center"/>
              <w:spacing w:line="559" w:lineRule="atLeast"/>
              <w:rPr>
                <w:rFonts w:hint="eastAsia" w:ascii="宋体" w:hAnsi="宋体" w:eastAsia="宋体" w:cs="宋体"/>
                <w:color w:val="auto"/>
                <w:highlight w:val="none"/>
              </w:rPr>
            </w:pPr>
            <w:r>
              <w:rPr>
                <w:rFonts w:hint="eastAsia" w:ascii="宋体" w:hAnsi="宋体" w:eastAsia="宋体" w:cs="宋体"/>
                <w:color w:val="auto"/>
                <w:sz w:val="24"/>
                <w:highlight w:val="non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263" w:type="dxa"/>
            <w:vAlign w:val="center"/>
            <w:textDirection w:val="lrTb"/>
            <w:noWrap w:val="false"/>
          </w:tcPr>
          <w:p>
            <w:pPr>
              <w:jc w:val="center"/>
              <w:spacing w:line="559" w:lineRule="atLeast"/>
              <w:rPr>
                <w:rFonts w:hint="eastAsia" w:ascii="宋体" w:hAnsi="宋体" w:eastAsia="宋体" w:cs="宋体"/>
                <w:color w:val="auto"/>
                <w:highlight w:val="none"/>
              </w:rPr>
            </w:pPr>
            <w:r>
              <w:rPr>
                <w:rFonts w:hint="eastAsia" w:ascii="宋体" w:hAnsi="宋体" w:eastAsia="宋体" w:cs="宋体"/>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1963" w:type="dxa"/>
            <w:vAlign w:val="center"/>
            <w:textDirection w:val="lrTb"/>
            <w:noWrap w:val="false"/>
          </w:tcPr>
          <w:p>
            <w:pPr>
              <w:jc w:val="center"/>
              <w:spacing w:line="559" w:lineRule="atLeast"/>
              <w:rPr>
                <w:rFonts w:hint="eastAsia" w:ascii="宋体" w:hAnsi="宋体" w:eastAsia="宋体" w:cs="宋体"/>
                <w:color w:val="auto"/>
                <w:highlight w:val="none"/>
              </w:rPr>
            </w:pPr>
            <w:r>
              <w:rPr>
                <w:rFonts w:hint="eastAsia" w:ascii="宋体" w:hAnsi="宋体" w:eastAsia="宋体" w:cs="宋体"/>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2848" w:type="dxa"/>
            <w:vAlign w:val="center"/>
            <w:textDirection w:val="lrTb"/>
            <w:noWrap w:val="false"/>
          </w:tcPr>
          <w:p>
            <w:pPr>
              <w:jc w:val="center"/>
              <w:spacing w:line="559" w:lineRule="atLeas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none" w:color="000000" w:sz="4" w:space="0"/>
              <w:left w:val="none" w:color="000000" w:sz="4" w:space="0"/>
              <w:bottom w:val="single" w:color="000000" w:sz="8" w:space="0"/>
              <w:right w:val="single" w:color="000000" w:sz="8" w:space="0"/>
            </w:tcBorders>
            <w:tcW w:w="2212" w:type="dxa"/>
            <w:vAlign w:val="center"/>
            <w:textDirection w:val="lrTb"/>
            <w:noWrap w:val="false"/>
          </w:tcPr>
          <w:p>
            <w:pPr>
              <w:jc w:val="center"/>
              <w:spacing w:line="559" w:lineRule="atLeast"/>
              <w:rPr>
                <w:rFonts w:hint="eastAsia" w:ascii="宋体" w:hAnsi="宋体" w:eastAsia="宋体" w:cs="宋体"/>
                <w:color w:val="auto"/>
                <w:highlight w:val="none"/>
              </w:rPr>
            </w:pPr>
            <w:r>
              <w:rPr>
                <w:rFonts w:hint="eastAsia" w:ascii="宋体" w:hAnsi="宋体" w:eastAsia="宋体" w:cs="宋体"/>
                <w:color w:val="auto"/>
                <w:sz w:val="24"/>
                <w:highlight w:val="non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263" w:type="dxa"/>
            <w:vAlign w:val="center"/>
            <w:textDirection w:val="lrTb"/>
            <w:noWrap w:val="false"/>
          </w:tcPr>
          <w:p>
            <w:pPr>
              <w:jc w:val="center"/>
              <w:spacing w:line="559" w:lineRule="atLeast"/>
              <w:rPr>
                <w:rFonts w:hint="eastAsia" w:ascii="宋体" w:hAnsi="宋体" w:eastAsia="宋体" w:cs="宋体"/>
                <w:color w:val="auto"/>
                <w:highlight w:val="none"/>
              </w:rPr>
            </w:pPr>
            <w:r>
              <w:rPr>
                <w:rFonts w:hint="eastAsia" w:ascii="宋体" w:hAnsi="宋体" w:eastAsia="宋体" w:cs="宋体"/>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1963" w:type="dxa"/>
            <w:vAlign w:val="center"/>
            <w:textDirection w:val="lrTb"/>
            <w:noWrap w:val="false"/>
          </w:tcPr>
          <w:p>
            <w:pPr>
              <w:jc w:val="center"/>
              <w:spacing w:line="559" w:lineRule="atLeast"/>
              <w:rPr>
                <w:rFonts w:hint="eastAsia" w:ascii="宋体" w:hAnsi="宋体" w:eastAsia="宋体" w:cs="宋体"/>
                <w:color w:val="auto"/>
                <w:highlight w:val="none"/>
              </w:rPr>
            </w:pPr>
            <w:r>
              <w:rPr>
                <w:rFonts w:hint="eastAsia" w:ascii="宋体" w:hAnsi="宋体" w:eastAsia="宋体" w:cs="宋体"/>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2848" w:type="dxa"/>
            <w:vAlign w:val="center"/>
            <w:textDirection w:val="lrTb"/>
            <w:noWrap w:val="false"/>
          </w:tcPr>
          <w:p>
            <w:pPr>
              <w:jc w:val="center"/>
              <w:spacing w:line="559" w:lineRule="atLeas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none" w:color="000000" w:sz="4" w:space="0"/>
              <w:left w:val="none" w:color="000000" w:sz="4" w:space="0"/>
              <w:bottom w:val="single" w:color="000000" w:sz="8" w:space="0"/>
              <w:right w:val="single" w:color="000000" w:sz="8" w:space="0"/>
            </w:tcBorders>
            <w:tcW w:w="2212" w:type="dxa"/>
            <w:vAlign w:val="center"/>
            <w:textDirection w:val="lrTb"/>
            <w:noWrap w:val="false"/>
          </w:tcPr>
          <w:p>
            <w:pPr>
              <w:jc w:val="center"/>
              <w:spacing w:line="559" w:lineRule="atLeast"/>
              <w:rPr>
                <w:rFonts w:hint="eastAsia" w:ascii="宋体" w:hAnsi="宋体" w:eastAsia="宋体" w:cs="宋体"/>
                <w:color w:val="auto"/>
                <w:highlight w:val="none"/>
              </w:rPr>
            </w:pPr>
            <w:r>
              <w:rPr>
                <w:rFonts w:hint="eastAsia" w:ascii="宋体" w:hAnsi="宋体" w:eastAsia="宋体" w:cs="宋体"/>
                <w:color w:val="auto"/>
                <w:sz w:val="24"/>
                <w:highlight w:val="non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263" w:type="dxa"/>
            <w:vAlign w:val="center"/>
            <w:textDirection w:val="lrTb"/>
            <w:noWrap w:val="false"/>
          </w:tcPr>
          <w:p>
            <w:pPr>
              <w:jc w:val="center"/>
              <w:spacing w:line="559" w:lineRule="atLeast"/>
              <w:rPr>
                <w:rFonts w:hint="eastAsia" w:ascii="宋体" w:hAnsi="宋体" w:eastAsia="宋体" w:cs="宋体"/>
                <w:color w:val="auto"/>
                <w:highlight w:val="none"/>
              </w:rPr>
            </w:pPr>
            <w:r>
              <w:rPr>
                <w:rFonts w:hint="eastAsia" w:ascii="宋体" w:hAnsi="宋体" w:eastAsia="宋体" w:cs="宋体"/>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1963" w:type="dxa"/>
            <w:vAlign w:val="center"/>
            <w:textDirection w:val="lrTb"/>
            <w:noWrap w:val="false"/>
          </w:tcPr>
          <w:p>
            <w:pPr>
              <w:jc w:val="center"/>
              <w:spacing w:line="559" w:lineRule="atLeast"/>
              <w:rPr>
                <w:rFonts w:hint="eastAsia" w:ascii="宋体" w:hAnsi="宋体" w:eastAsia="宋体" w:cs="宋体"/>
                <w:color w:val="auto"/>
                <w:highlight w:val="none"/>
              </w:rPr>
            </w:pPr>
            <w:r>
              <w:rPr>
                <w:rFonts w:hint="eastAsia" w:ascii="宋体" w:hAnsi="宋体" w:eastAsia="宋体" w:cs="宋体"/>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2848" w:type="dxa"/>
            <w:vAlign w:val="center"/>
            <w:textDirection w:val="lrTb"/>
            <w:noWrap w:val="false"/>
          </w:tcPr>
          <w:p>
            <w:pPr>
              <w:jc w:val="center"/>
              <w:spacing w:line="559" w:lineRule="atLeas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none" w:color="000000" w:sz="4" w:space="0"/>
              <w:left w:val="none" w:color="000000" w:sz="4" w:space="0"/>
              <w:bottom w:val="single" w:color="000000" w:sz="8" w:space="0"/>
              <w:right w:val="single" w:color="000000" w:sz="8" w:space="0"/>
            </w:tcBorders>
            <w:tcW w:w="2212" w:type="dxa"/>
            <w:vAlign w:val="center"/>
            <w:textDirection w:val="lrTb"/>
            <w:noWrap w:val="false"/>
          </w:tcPr>
          <w:p>
            <w:pPr>
              <w:jc w:val="center"/>
              <w:spacing w:line="559" w:lineRule="atLeast"/>
              <w:rPr>
                <w:rFonts w:hint="eastAsia" w:ascii="宋体" w:hAnsi="宋体" w:eastAsia="宋体" w:cs="宋体"/>
                <w:color w:val="auto"/>
                <w:highlight w:val="none"/>
              </w:rPr>
            </w:pPr>
            <w:r>
              <w:rPr>
                <w:rFonts w:hint="eastAsia" w:ascii="宋体" w:hAnsi="宋体" w:eastAsia="宋体" w:cs="宋体"/>
                <w:color w:val="auto"/>
                <w:sz w:val="24"/>
                <w:highlight w:val="non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263" w:type="dxa"/>
            <w:vAlign w:val="center"/>
            <w:textDirection w:val="lrTb"/>
            <w:noWrap w:val="false"/>
          </w:tcPr>
          <w:p>
            <w:pPr>
              <w:jc w:val="center"/>
              <w:spacing w:line="559" w:lineRule="atLeast"/>
              <w:rPr>
                <w:rFonts w:hint="eastAsia" w:ascii="宋体" w:hAnsi="宋体" w:eastAsia="宋体" w:cs="宋体"/>
                <w:color w:val="auto"/>
                <w:highlight w:val="none"/>
                <w:lang w:val="en-US" w:eastAsia="zh-CN"/>
              </w:rPr>
            </w:pPr>
            <w:r>
              <w:rPr>
                <w:rFonts w:hint="eastAsia" w:ascii="宋体" w:hAnsi="宋体" w:eastAsia="宋体" w:cs="宋体"/>
                <w:color w:val="auto"/>
                <w:sz w:val="24"/>
                <w:highlight w:val="none"/>
              </w:rPr>
              <w:t xml:space="preserve">…</w:t>
            </w:r>
            <w:r/>
          </w:p>
        </w:tc>
        <w:tc>
          <w:tcPr>
            <w:tcBorders>
              <w:top w:val="none" w:color="000000" w:sz="4" w:space="0"/>
              <w:left w:val="none" w:color="000000" w:sz="4" w:space="0"/>
              <w:bottom w:val="single" w:color="000000" w:sz="8" w:space="0"/>
              <w:right w:val="single" w:color="000000" w:sz="8" w:space="0"/>
            </w:tcBorders>
            <w:tcW w:w="1963" w:type="dxa"/>
            <w:vAlign w:val="center"/>
            <w:textDirection w:val="lrTb"/>
            <w:noWrap w:val="false"/>
          </w:tcPr>
          <w:p>
            <w:pPr>
              <w:jc w:val="center"/>
              <w:spacing w:line="559" w:lineRule="atLeast"/>
              <w:rPr>
                <w:rFonts w:hint="eastAsia" w:ascii="宋体" w:hAnsi="宋体" w:eastAsia="宋体" w:cs="宋体"/>
                <w:color w:val="auto"/>
                <w:highlight w:val="none"/>
              </w:rPr>
            </w:pPr>
            <w:r>
              <w:rPr>
                <w:rFonts w:hint="eastAsia" w:ascii="宋体" w:hAnsi="宋体" w:eastAsia="宋体" w:cs="宋体"/>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2848" w:type="dxa"/>
            <w:vAlign w:val="center"/>
            <w:textDirection w:val="lrTb"/>
            <w:noWrap w:val="false"/>
          </w:tcPr>
          <w:p>
            <w:pPr>
              <w:jc w:val="center"/>
              <w:spacing w:line="559" w:lineRule="atLeas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none" w:color="000000" w:sz="4" w:space="0"/>
              <w:left w:val="none" w:color="000000" w:sz="4" w:space="0"/>
              <w:bottom w:val="single" w:color="000000" w:sz="8" w:space="0"/>
              <w:right w:val="single" w:color="000000" w:sz="8" w:space="0"/>
            </w:tcBorders>
            <w:tcW w:w="2212" w:type="dxa"/>
            <w:vAlign w:val="center"/>
            <w:textDirection w:val="lrTb"/>
            <w:noWrap w:val="false"/>
          </w:tcPr>
          <w:p>
            <w:pPr>
              <w:jc w:val="center"/>
              <w:spacing w:line="559" w:lineRule="atLeast"/>
              <w:rPr>
                <w:rFonts w:hint="eastAsia" w:ascii="宋体" w:hAnsi="宋体" w:eastAsia="宋体" w:cs="宋体"/>
                <w:color w:val="auto"/>
                <w:highlight w:val="none"/>
              </w:rPr>
            </w:pPr>
            <w:r>
              <w:rPr>
                <w:rFonts w:hint="eastAsia" w:ascii="宋体" w:hAnsi="宋体" w:eastAsia="宋体" w:cs="宋体"/>
                <w:color w:val="auto"/>
                <w:sz w:val="24"/>
                <w:highlight w:val="none"/>
              </w:rPr>
              <w:t xml:space="preserve"> </w:t>
            </w:r>
            <w:r/>
          </w:p>
        </w:tc>
      </w:tr>
    </w:tbl>
    <w:p>
      <w:pPr>
        <w:jc w:val="right"/>
        <w:spacing w:line="588"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单位名称：</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（盖CA电子公章）</w:t>
      </w:r>
      <w:bookmarkEnd w:id="202"/>
      <w:r/>
      <w:bookmarkEnd w:id="203"/>
      <w:r/>
      <w:r/>
    </w:p>
    <w:p>
      <w:pPr>
        <w:ind w:firstLine="560"/>
        <w:keepLines w:val="0"/>
        <w:keepNext w:val="0"/>
        <w:pageBreakBefore w:val="0"/>
        <w:spacing w:line="500" w:lineRule="exact"/>
        <w:widowControl w:val="off"/>
        <w:rPr>
          <w:rFonts w:hint="eastAsia" w:ascii="宋体" w:hAnsi="宋体" w:eastAsia="宋体" w:cs="宋体"/>
          <w:caps w:val="0"/>
          <w:color w:val="auto"/>
          <w:sz w:val="22"/>
          <w:szCs w:val="22"/>
          <w:highlight w:val="none"/>
          <w:lang w:val="en-US" w:eastAsia="zh-CN"/>
        </w:rPr>
      </w:pPr>
      <w:r/>
      <w:bookmarkStart w:id="240" w:name="_Toc462564146"/>
      <w:r/>
      <w:bookmarkEnd w:id="240"/>
      <w:r/>
      <w:bookmarkStart w:id="241" w:name="_Hlt26671374"/>
      <w:r/>
      <w:bookmarkEnd w:id="241"/>
      <w:r/>
      <w:bookmarkStart w:id="242" w:name="_Hlt26609389"/>
      <w:r/>
      <w:bookmarkEnd w:id="242"/>
      <w:r/>
      <w:bookmarkStart w:id="243" w:name="_Hlt26955066"/>
      <w:r/>
      <w:bookmarkEnd w:id="243"/>
      <w:r>
        <w:rPr>
          <w:rFonts w:hint="eastAsia" w:ascii="宋体" w:hAnsi="宋体" w:eastAsia="宋体" w:cs="宋体"/>
          <w:caps w:val="0"/>
          <w:color w:val="auto"/>
          <w:sz w:val="22"/>
          <w:szCs w:val="22"/>
          <w:highlight w:val="none"/>
          <w:lang w:val="en-US" w:eastAsia="zh-CN"/>
        </w:rPr>
        <w:t xml:space="preserve">1.供应商必须对服务要求和商务要求中的实质性要求（打“★”内容）做出明确响应，否则作无效响应处理。</w:t>
      </w:r>
      <w:r/>
    </w:p>
    <w:p>
      <w:pPr>
        <w:ind w:firstLine="560"/>
        <w:keepLines w:val="0"/>
        <w:keepNext w:val="0"/>
        <w:pageBreakBefore w:val="0"/>
        <w:spacing w:line="500" w:lineRule="exact"/>
        <w:widowControl w:val="off"/>
        <w:rPr>
          <w:rFonts w:hint="eastAsia" w:ascii="宋体" w:hAnsi="宋体" w:eastAsia="宋体" w:cs="宋体"/>
          <w:caps w:val="0"/>
          <w:color w:val="auto"/>
          <w:sz w:val="22"/>
          <w:szCs w:val="22"/>
          <w:highlight w:val="none"/>
          <w:lang w:val="en-US" w:eastAsia="zh-CN"/>
        </w:rPr>
      </w:pPr>
      <w:r>
        <w:rPr>
          <w:rFonts w:hint="eastAsia" w:ascii="宋体" w:hAnsi="宋体" w:eastAsia="宋体" w:cs="宋体"/>
          <w:caps w:val="0"/>
          <w:color w:val="auto"/>
          <w:sz w:val="22"/>
          <w:szCs w:val="22"/>
          <w:highlight w:val="none"/>
          <w:lang w:val="en-US" w:eastAsia="zh-CN"/>
        </w:rPr>
        <w:t xml:space="preserve">2.如果采购文件要求提供证明材料，供应商必须将证明材料列于该表之下。</w:t>
      </w:r>
      <w:r/>
    </w:p>
    <w:p>
      <w:pPr>
        <w:ind w:firstLine="560"/>
        <w:keepLines w:val="0"/>
        <w:keepNext w:val="0"/>
        <w:pageBreakBefore w:val="0"/>
        <w:spacing w:line="500" w:lineRule="exact"/>
        <w:widowControl w:val="off"/>
        <w:rPr>
          <w:rFonts w:hint="eastAsia" w:ascii="宋体" w:hAnsi="宋体" w:eastAsia="宋体" w:cs="宋体"/>
          <w:caps w:val="0"/>
          <w:color w:val="auto"/>
          <w:sz w:val="22"/>
          <w:szCs w:val="22"/>
          <w:highlight w:val="none"/>
          <w:lang w:val="en-US" w:eastAsia="zh-CN"/>
        </w:rPr>
      </w:pPr>
      <w:r>
        <w:rPr>
          <w:rFonts w:hint="eastAsia" w:ascii="宋体" w:hAnsi="宋体" w:eastAsia="宋体" w:cs="宋体"/>
          <w:caps w:val="0"/>
          <w:color w:val="auto"/>
          <w:sz w:val="22"/>
          <w:szCs w:val="22"/>
          <w:highlight w:val="none"/>
          <w:lang w:val="en-US" w:eastAsia="zh-CN"/>
        </w:rPr>
        <w:t xml:space="preserve">3.供应商未对实质性要求作出明确响应的，该分包作无效响应处理。</w:t>
      </w:r>
      <w:r/>
    </w:p>
    <w:p>
      <w:pPr>
        <w:ind w:firstLine="560"/>
        <w:keepLines w:val="0"/>
        <w:keepNext w:val="0"/>
        <w:pageBreakBefore w:val="0"/>
        <w:spacing w:line="500" w:lineRule="exact"/>
        <w:widowControl w:val="off"/>
        <w:rPr>
          <w:rFonts w:hint="eastAsia" w:ascii="宋体" w:hAnsi="宋体" w:eastAsia="宋体" w:cs="宋体"/>
          <w:caps w:val="0"/>
          <w:color w:val="auto"/>
          <w:sz w:val="22"/>
          <w:szCs w:val="22"/>
          <w:highlight w:val="none"/>
          <w:lang w:val="en-US" w:eastAsia="zh-CN"/>
        </w:rPr>
      </w:pPr>
      <w:r>
        <w:rPr>
          <w:rFonts w:hint="eastAsia" w:ascii="宋体" w:hAnsi="宋体" w:eastAsia="宋体" w:cs="宋体"/>
          <w:caps w:val="0"/>
          <w:color w:val="auto"/>
          <w:sz w:val="22"/>
          <w:szCs w:val="22"/>
          <w:highlight w:val="none"/>
          <w:lang w:val="en-US" w:eastAsia="zh-CN"/>
        </w:rPr>
        <w:t xml:space="preserve">4.非实质性要求供应商未在表中列出的，视为完全响应采购要求。</w:t>
      </w:r>
      <w:r/>
    </w:p>
    <w:p>
      <w:pPr>
        <w:ind w:firstLine="560"/>
        <w:keepLines w:val="0"/>
        <w:keepNext w:val="0"/>
        <w:pageBreakBefore w:val="0"/>
        <w:spacing w:line="500" w:lineRule="exact"/>
        <w:widowControl w:val="off"/>
        <w:rPr>
          <w:rFonts w:hint="eastAsia" w:ascii="宋体" w:hAnsi="宋体" w:eastAsia="宋体" w:cs="宋体"/>
          <w:caps w:val="0"/>
          <w:color w:val="auto"/>
          <w:sz w:val="22"/>
          <w:szCs w:val="22"/>
          <w:highlight w:val="none"/>
          <w:lang w:val="en-US" w:eastAsia="zh-CN"/>
        </w:rPr>
      </w:pPr>
      <w:r>
        <w:rPr>
          <w:rFonts w:hint="eastAsia" w:ascii="宋体" w:hAnsi="宋体" w:eastAsia="宋体" w:cs="宋体"/>
          <w:caps w:val="0"/>
          <w:color w:val="auto"/>
          <w:sz w:val="22"/>
          <w:szCs w:val="22"/>
          <w:highlight w:val="none"/>
          <w:lang w:val="en-US" w:eastAsia="zh-CN"/>
        </w:rPr>
        <w:t xml:space="preserve">5.行数不够，可自行添加。</w:t>
      </w:r>
      <w:r/>
    </w:p>
    <w:p>
      <w:pPr>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p>
      <w:pPr>
        <w:pStyle w:val="1082"/>
        <w:rPr>
          <w:rFonts w:hint="eastAsia" w:ascii="宋体" w:hAnsi="宋体" w:eastAsia="宋体" w:cs="宋体"/>
          <w:color w:val="auto"/>
          <w:highlight w:val="none"/>
        </w:rPr>
        <w:outlineLvl w:val="1"/>
      </w:pPr>
      <w:r/>
      <w:bookmarkStart w:id="244" w:name="_格式2__法定代表人授权书"/>
      <w:r/>
      <w:bookmarkEnd w:id="244"/>
      <w:r>
        <w:rPr>
          <w:rFonts w:hint="eastAsia" w:ascii="宋体" w:hAnsi="宋体" w:eastAsia="宋体" w:cs="宋体"/>
          <w:b w:val="0"/>
          <w:color w:val="auto"/>
          <w:szCs w:val="32"/>
          <w:highlight w:val="none"/>
        </w:rPr>
        <w:br w:type="page" w:clear="all"/>
      </w:r>
      <w:bookmarkStart w:id="245" w:name="_Toc14081"/>
      <w:r>
        <w:rPr>
          <w:rFonts w:hint="eastAsia" w:ascii="宋体" w:hAnsi="宋体" w:eastAsia="宋体" w:cs="宋体"/>
          <w:iCs/>
          <w:color w:val="auto"/>
          <w:szCs w:val="32"/>
          <w:highlight w:val="none"/>
        </w:rPr>
        <w:t xml:space="preserve">九、项目组人员</w:t>
      </w:r>
      <w:bookmarkEnd w:id="245"/>
      <w:r/>
      <w:r/>
    </w:p>
    <w:p>
      <w:pPr>
        <w:pStyle w:val="1014"/>
        <w:jc w:val="center"/>
        <w:spacing w:line="600" w:lineRule="exact"/>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lang w:bidi="ar"/>
        </w:rPr>
        <w:t xml:space="preserve">项目组成员</w:t>
      </w:r>
      <w:r/>
    </w:p>
    <w:tbl>
      <w:tblPr>
        <w:tblStyle w:val="735"/>
        <w:tblpPr w:horzAnchor="margin" w:tblpXSpec="center" w:vertAnchor="text" w:tblpY="74" w:leftFromText="180" w:topFromText="0" w:rightFromText="180" w:bottomFromText="0"/>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9"/>
        <w:gridCol w:w="1843"/>
        <w:gridCol w:w="992"/>
        <w:gridCol w:w="1984"/>
        <w:gridCol w:w="1702"/>
        <w:gridCol w:w="962"/>
      </w:tblGrid>
      <w:tr>
        <w:trPr>
          <w:trHeight w:val="836"/>
        </w:trPr>
        <w:tc>
          <w:tcPr>
            <w:tcW w:w="959" w:type="dxa"/>
            <w:vAlign w:val="center"/>
            <w:textDirection w:val="lrTb"/>
            <w:noWrap w:val="false"/>
          </w:tcPr>
          <w:p>
            <w:pPr>
              <w:pStyle w:val="1083"/>
              <w:jc w:val="center"/>
              <w:spacing w:beforeAutospacing="1" w:line="5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姓名</w:t>
            </w:r>
            <w:r/>
          </w:p>
        </w:tc>
        <w:tc>
          <w:tcPr>
            <w:tcW w:w="1843" w:type="dxa"/>
            <w:vAlign w:val="center"/>
            <w:textDirection w:val="lrTb"/>
            <w:noWrap w:val="false"/>
          </w:tcPr>
          <w:p>
            <w:pPr>
              <w:pStyle w:val="1083"/>
              <w:jc w:val="center"/>
              <w:spacing w:beforeAutospacing="1" w:line="5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职务</w:t>
            </w:r>
            <w:r/>
          </w:p>
        </w:tc>
        <w:tc>
          <w:tcPr>
            <w:tcW w:w="992" w:type="dxa"/>
            <w:vAlign w:val="center"/>
            <w:textDirection w:val="lrTb"/>
            <w:noWrap w:val="false"/>
          </w:tcPr>
          <w:p>
            <w:pPr>
              <w:pStyle w:val="1083"/>
              <w:jc w:val="center"/>
              <w:spacing w:beforeAutospacing="1" w:line="5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学历</w:t>
            </w:r>
            <w:r/>
          </w:p>
        </w:tc>
        <w:tc>
          <w:tcPr>
            <w:tcW w:w="1984" w:type="dxa"/>
            <w:vAlign w:val="center"/>
            <w:textDirection w:val="lrTb"/>
            <w:noWrap w:val="false"/>
          </w:tcPr>
          <w:p>
            <w:pPr>
              <w:pStyle w:val="1083"/>
              <w:ind w:firstLine="280"/>
              <w:spacing w:beforeAutospacing="1" w:line="5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身份证号</w:t>
            </w:r>
            <w:r/>
          </w:p>
        </w:tc>
        <w:tc>
          <w:tcPr>
            <w:tcW w:w="1702" w:type="dxa"/>
            <w:vAlign w:val="center"/>
            <w:textDirection w:val="lrTb"/>
            <w:noWrap w:val="false"/>
          </w:tcPr>
          <w:p>
            <w:pPr>
              <w:pStyle w:val="1083"/>
              <w:jc w:val="center"/>
              <w:spacing w:beforeAutospacing="1" w:line="5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相关证书</w:t>
            </w:r>
            <w:r/>
          </w:p>
        </w:tc>
        <w:tc>
          <w:tcPr>
            <w:tcW w:w="962" w:type="dxa"/>
            <w:vAlign w:val="center"/>
            <w:textDirection w:val="lrTb"/>
            <w:noWrap w:val="false"/>
          </w:tcPr>
          <w:p>
            <w:pPr>
              <w:pStyle w:val="1083"/>
              <w:spacing w:beforeAutospacing="1" w:line="5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备注</w:t>
            </w:r>
            <w:r/>
          </w:p>
        </w:tc>
      </w:tr>
      <w:tr>
        <w:trPr>
          <w:trHeight w:val="729"/>
        </w:trPr>
        <w:tc>
          <w:tcPr>
            <w:tcW w:w="959" w:type="dxa"/>
            <w:vAlign w:val="center"/>
            <w:textDirection w:val="lrTb"/>
            <w:noWrap w:val="false"/>
          </w:tcPr>
          <w:p>
            <w:pPr>
              <w:pStyle w:val="1083"/>
              <w:ind w:firstLine="560"/>
              <w:jc w:val="center"/>
              <w:spacing w:line="5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1843" w:type="dxa"/>
            <w:vAlign w:val="center"/>
            <w:textDirection w:val="lrTb"/>
            <w:noWrap w:val="false"/>
          </w:tcPr>
          <w:p>
            <w:pPr>
              <w:pStyle w:val="1014"/>
              <w:jc w:val="center"/>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r>
            <w:r/>
          </w:p>
        </w:tc>
        <w:tc>
          <w:tcPr>
            <w:tcW w:w="992" w:type="dxa"/>
            <w:vAlign w:val="center"/>
            <w:textDirection w:val="lrTb"/>
            <w:noWrap w:val="false"/>
          </w:tcPr>
          <w:p>
            <w:pPr>
              <w:pStyle w:val="1083"/>
              <w:ind w:firstLine="560"/>
              <w:jc w:val="center"/>
              <w:spacing w:line="5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1984" w:type="dxa"/>
            <w:vAlign w:val="center"/>
            <w:textDirection w:val="lrTb"/>
            <w:noWrap w:val="false"/>
          </w:tcPr>
          <w:p>
            <w:pPr>
              <w:pStyle w:val="1083"/>
              <w:ind w:firstLine="560"/>
              <w:jc w:val="center"/>
              <w:spacing w:line="5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1702" w:type="dxa"/>
            <w:vAlign w:val="center"/>
            <w:textDirection w:val="lrTb"/>
            <w:noWrap w:val="false"/>
          </w:tcPr>
          <w:p>
            <w:pPr>
              <w:pStyle w:val="1083"/>
              <w:ind w:firstLine="560"/>
              <w:jc w:val="center"/>
              <w:spacing w:line="5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962" w:type="dxa"/>
            <w:vAlign w:val="center"/>
            <w:textDirection w:val="lrTb"/>
            <w:noWrap w:val="false"/>
          </w:tcPr>
          <w:p>
            <w:pPr>
              <w:pStyle w:val="1083"/>
              <w:ind w:firstLine="560"/>
              <w:jc w:val="center"/>
              <w:spacing w:line="5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r>
      <w:tr>
        <w:trPr>
          <w:trHeight w:val="729"/>
        </w:trPr>
        <w:tc>
          <w:tcPr>
            <w:tcW w:w="959" w:type="dxa"/>
            <w:vAlign w:val="center"/>
            <w:textDirection w:val="lrTb"/>
            <w:noWrap w:val="false"/>
          </w:tcPr>
          <w:p>
            <w:pPr>
              <w:pStyle w:val="1083"/>
              <w:ind w:firstLine="560"/>
              <w:jc w:val="center"/>
              <w:spacing w:line="5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1843" w:type="dxa"/>
            <w:vAlign w:val="center"/>
            <w:textDirection w:val="lrTb"/>
            <w:noWrap w:val="false"/>
          </w:tcPr>
          <w:p>
            <w:pPr>
              <w:pStyle w:val="1014"/>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992" w:type="dxa"/>
            <w:vAlign w:val="center"/>
            <w:textDirection w:val="lrTb"/>
            <w:noWrap w:val="false"/>
          </w:tcPr>
          <w:p>
            <w:pPr>
              <w:pStyle w:val="1083"/>
              <w:ind w:firstLine="560"/>
              <w:jc w:val="center"/>
              <w:spacing w:line="5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1984" w:type="dxa"/>
            <w:vAlign w:val="center"/>
            <w:textDirection w:val="lrTb"/>
            <w:noWrap w:val="false"/>
          </w:tcPr>
          <w:p>
            <w:pPr>
              <w:pStyle w:val="1083"/>
              <w:ind w:firstLine="560"/>
              <w:jc w:val="center"/>
              <w:spacing w:line="5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1702" w:type="dxa"/>
            <w:vAlign w:val="center"/>
            <w:textDirection w:val="lrTb"/>
            <w:noWrap w:val="false"/>
          </w:tcPr>
          <w:p>
            <w:pPr>
              <w:pStyle w:val="1083"/>
              <w:ind w:firstLine="560"/>
              <w:jc w:val="center"/>
              <w:spacing w:line="5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962" w:type="dxa"/>
            <w:vAlign w:val="center"/>
            <w:textDirection w:val="lrTb"/>
            <w:noWrap w:val="false"/>
          </w:tcPr>
          <w:p>
            <w:pPr>
              <w:pStyle w:val="1083"/>
              <w:ind w:firstLine="560"/>
              <w:jc w:val="center"/>
              <w:spacing w:line="5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r>
      <w:tr>
        <w:trPr>
          <w:trHeight w:val="729"/>
        </w:trPr>
        <w:tc>
          <w:tcPr>
            <w:tcW w:w="959" w:type="dxa"/>
            <w:vAlign w:val="center"/>
            <w:textDirection w:val="lrTb"/>
            <w:noWrap w:val="false"/>
          </w:tcPr>
          <w:p>
            <w:pPr>
              <w:pStyle w:val="1083"/>
              <w:ind w:firstLine="560"/>
              <w:jc w:val="center"/>
              <w:spacing w:line="5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1843" w:type="dxa"/>
            <w:vAlign w:val="center"/>
            <w:textDirection w:val="lrTb"/>
            <w:noWrap w:val="false"/>
          </w:tcPr>
          <w:p>
            <w:pPr>
              <w:pStyle w:val="1014"/>
              <w:ind w:firstLine="28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992" w:type="dxa"/>
            <w:vAlign w:val="center"/>
            <w:textDirection w:val="lrTb"/>
            <w:noWrap w:val="false"/>
          </w:tcPr>
          <w:p>
            <w:pPr>
              <w:pStyle w:val="1083"/>
              <w:ind w:firstLine="560"/>
              <w:jc w:val="center"/>
              <w:spacing w:line="5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1984" w:type="dxa"/>
            <w:vAlign w:val="center"/>
            <w:textDirection w:val="lrTb"/>
            <w:noWrap w:val="false"/>
          </w:tcPr>
          <w:p>
            <w:pPr>
              <w:pStyle w:val="1083"/>
              <w:ind w:firstLine="560"/>
              <w:jc w:val="center"/>
              <w:spacing w:line="5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1702" w:type="dxa"/>
            <w:vAlign w:val="center"/>
            <w:textDirection w:val="lrTb"/>
            <w:noWrap w:val="false"/>
          </w:tcPr>
          <w:p>
            <w:pPr>
              <w:pStyle w:val="1083"/>
              <w:ind w:firstLine="560"/>
              <w:jc w:val="center"/>
              <w:spacing w:line="5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962" w:type="dxa"/>
            <w:vAlign w:val="center"/>
            <w:textDirection w:val="lrTb"/>
            <w:noWrap w:val="false"/>
          </w:tcPr>
          <w:p>
            <w:pPr>
              <w:pStyle w:val="1083"/>
              <w:ind w:firstLine="560"/>
              <w:jc w:val="center"/>
              <w:spacing w:line="5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r>
      <w:tr>
        <w:trPr>
          <w:trHeight w:val="729"/>
        </w:trPr>
        <w:tc>
          <w:tcPr>
            <w:tcW w:w="959" w:type="dxa"/>
            <w:vAlign w:val="center"/>
            <w:textDirection w:val="lrTb"/>
            <w:noWrap w:val="false"/>
          </w:tcPr>
          <w:p>
            <w:pPr>
              <w:pStyle w:val="1083"/>
              <w:ind w:firstLine="560"/>
              <w:jc w:val="center"/>
              <w:spacing w:line="5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1843" w:type="dxa"/>
            <w:vAlign w:val="center"/>
            <w:textDirection w:val="lrTb"/>
            <w:noWrap w:val="false"/>
          </w:tcPr>
          <w:p>
            <w:pPr>
              <w:pStyle w:val="1014"/>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992" w:type="dxa"/>
            <w:vAlign w:val="center"/>
            <w:textDirection w:val="lrTb"/>
            <w:noWrap w:val="false"/>
          </w:tcPr>
          <w:p>
            <w:pPr>
              <w:pStyle w:val="1083"/>
              <w:ind w:firstLine="560"/>
              <w:jc w:val="center"/>
              <w:spacing w:line="5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1984" w:type="dxa"/>
            <w:vAlign w:val="center"/>
            <w:textDirection w:val="lrTb"/>
            <w:noWrap w:val="false"/>
          </w:tcPr>
          <w:p>
            <w:pPr>
              <w:pStyle w:val="1083"/>
              <w:ind w:firstLine="560"/>
              <w:jc w:val="center"/>
              <w:spacing w:line="5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1702" w:type="dxa"/>
            <w:vAlign w:val="center"/>
            <w:textDirection w:val="lrTb"/>
            <w:noWrap w:val="false"/>
          </w:tcPr>
          <w:p>
            <w:pPr>
              <w:pStyle w:val="1083"/>
              <w:ind w:firstLine="560"/>
              <w:jc w:val="center"/>
              <w:spacing w:line="5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962" w:type="dxa"/>
            <w:vAlign w:val="center"/>
            <w:textDirection w:val="lrTb"/>
            <w:noWrap w:val="false"/>
          </w:tcPr>
          <w:p>
            <w:pPr>
              <w:pStyle w:val="1083"/>
              <w:ind w:firstLine="560"/>
              <w:jc w:val="center"/>
              <w:spacing w:line="5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r>
      <w:tr>
        <w:trPr>
          <w:trHeight w:val="729"/>
        </w:trPr>
        <w:tc>
          <w:tcPr>
            <w:tcW w:w="959" w:type="dxa"/>
            <w:vAlign w:val="center"/>
            <w:textDirection w:val="lrTb"/>
            <w:noWrap w:val="false"/>
          </w:tcPr>
          <w:p>
            <w:pPr>
              <w:pStyle w:val="1083"/>
              <w:ind w:firstLine="560"/>
              <w:jc w:val="center"/>
              <w:spacing w:line="5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1843" w:type="dxa"/>
            <w:vAlign w:val="center"/>
            <w:textDirection w:val="lrTb"/>
            <w:noWrap w:val="false"/>
          </w:tcPr>
          <w:p>
            <w:pPr>
              <w:pStyle w:val="1014"/>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992" w:type="dxa"/>
            <w:vAlign w:val="center"/>
            <w:textDirection w:val="lrTb"/>
            <w:noWrap w:val="false"/>
          </w:tcPr>
          <w:p>
            <w:pPr>
              <w:pStyle w:val="1083"/>
              <w:ind w:firstLine="560"/>
              <w:jc w:val="center"/>
              <w:spacing w:line="5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1984" w:type="dxa"/>
            <w:vAlign w:val="center"/>
            <w:textDirection w:val="lrTb"/>
            <w:noWrap w:val="false"/>
          </w:tcPr>
          <w:p>
            <w:pPr>
              <w:pStyle w:val="1083"/>
              <w:ind w:firstLine="560"/>
              <w:jc w:val="center"/>
              <w:spacing w:line="5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1702" w:type="dxa"/>
            <w:vAlign w:val="center"/>
            <w:textDirection w:val="lrTb"/>
            <w:noWrap w:val="false"/>
          </w:tcPr>
          <w:p>
            <w:pPr>
              <w:pStyle w:val="1083"/>
              <w:ind w:firstLine="560"/>
              <w:jc w:val="center"/>
              <w:spacing w:line="5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962" w:type="dxa"/>
            <w:vAlign w:val="center"/>
            <w:textDirection w:val="lrTb"/>
            <w:noWrap w:val="false"/>
          </w:tcPr>
          <w:p>
            <w:pPr>
              <w:pStyle w:val="1083"/>
              <w:ind w:firstLine="560"/>
              <w:jc w:val="center"/>
              <w:spacing w:line="5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r>
      <w:tr>
        <w:trPr>
          <w:trHeight w:val="729"/>
        </w:trPr>
        <w:tc>
          <w:tcPr>
            <w:tcW w:w="959" w:type="dxa"/>
            <w:vAlign w:val="center"/>
            <w:textDirection w:val="lrTb"/>
            <w:noWrap w:val="false"/>
          </w:tcPr>
          <w:p>
            <w:pPr>
              <w:pStyle w:val="1083"/>
              <w:ind w:firstLine="560"/>
              <w:jc w:val="center"/>
              <w:spacing w:line="5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1843" w:type="dxa"/>
            <w:vAlign w:val="center"/>
            <w:textDirection w:val="lrTb"/>
            <w:noWrap w:val="false"/>
          </w:tcPr>
          <w:p>
            <w:pPr>
              <w:pStyle w:val="1083"/>
              <w:ind w:firstLine="560"/>
              <w:jc w:val="center"/>
              <w:spacing w:line="5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992" w:type="dxa"/>
            <w:vAlign w:val="center"/>
            <w:textDirection w:val="lrTb"/>
            <w:noWrap w:val="false"/>
          </w:tcPr>
          <w:p>
            <w:pPr>
              <w:pStyle w:val="1083"/>
              <w:ind w:firstLine="560"/>
              <w:jc w:val="center"/>
              <w:spacing w:line="5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1984" w:type="dxa"/>
            <w:vAlign w:val="center"/>
            <w:textDirection w:val="lrTb"/>
            <w:noWrap w:val="false"/>
          </w:tcPr>
          <w:p>
            <w:pPr>
              <w:pStyle w:val="1083"/>
              <w:ind w:firstLine="560"/>
              <w:jc w:val="center"/>
              <w:spacing w:line="5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1702" w:type="dxa"/>
            <w:vAlign w:val="center"/>
            <w:textDirection w:val="lrTb"/>
            <w:noWrap w:val="false"/>
          </w:tcPr>
          <w:p>
            <w:pPr>
              <w:pStyle w:val="1083"/>
              <w:ind w:firstLine="560"/>
              <w:jc w:val="center"/>
              <w:spacing w:line="5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962" w:type="dxa"/>
            <w:vAlign w:val="center"/>
            <w:textDirection w:val="lrTb"/>
            <w:noWrap w:val="false"/>
          </w:tcPr>
          <w:p>
            <w:pPr>
              <w:pStyle w:val="1083"/>
              <w:ind w:firstLine="560"/>
              <w:jc w:val="center"/>
              <w:spacing w:line="5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r>
      <w:tr>
        <w:trPr>
          <w:trHeight w:val="729"/>
        </w:trPr>
        <w:tc>
          <w:tcPr>
            <w:tcW w:w="959" w:type="dxa"/>
            <w:vAlign w:val="center"/>
            <w:textDirection w:val="lrTb"/>
            <w:noWrap w:val="false"/>
          </w:tcPr>
          <w:p>
            <w:pPr>
              <w:pStyle w:val="1083"/>
              <w:ind w:firstLine="560"/>
              <w:jc w:val="center"/>
              <w:spacing w:line="5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1843" w:type="dxa"/>
            <w:vAlign w:val="center"/>
            <w:textDirection w:val="lrTb"/>
            <w:noWrap w:val="false"/>
          </w:tcPr>
          <w:p>
            <w:pPr>
              <w:pStyle w:val="1083"/>
              <w:ind w:firstLine="560"/>
              <w:jc w:val="center"/>
              <w:spacing w:line="5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992" w:type="dxa"/>
            <w:vAlign w:val="center"/>
            <w:textDirection w:val="lrTb"/>
            <w:noWrap w:val="false"/>
          </w:tcPr>
          <w:p>
            <w:pPr>
              <w:pStyle w:val="1083"/>
              <w:ind w:firstLine="560"/>
              <w:jc w:val="center"/>
              <w:spacing w:line="5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1984" w:type="dxa"/>
            <w:vAlign w:val="center"/>
            <w:textDirection w:val="lrTb"/>
            <w:noWrap w:val="false"/>
          </w:tcPr>
          <w:p>
            <w:pPr>
              <w:pStyle w:val="1083"/>
              <w:ind w:firstLine="560"/>
              <w:jc w:val="center"/>
              <w:spacing w:line="5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1702" w:type="dxa"/>
            <w:vAlign w:val="center"/>
            <w:textDirection w:val="lrTb"/>
            <w:noWrap w:val="false"/>
          </w:tcPr>
          <w:p>
            <w:pPr>
              <w:pStyle w:val="1083"/>
              <w:ind w:firstLine="560"/>
              <w:jc w:val="center"/>
              <w:spacing w:line="5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962" w:type="dxa"/>
            <w:vAlign w:val="center"/>
            <w:textDirection w:val="lrTb"/>
            <w:noWrap w:val="false"/>
          </w:tcPr>
          <w:p>
            <w:pPr>
              <w:pStyle w:val="1083"/>
              <w:ind w:firstLine="560"/>
              <w:jc w:val="center"/>
              <w:spacing w:line="5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r>
      <w:tr>
        <w:trPr>
          <w:trHeight w:val="729"/>
        </w:trPr>
        <w:tc>
          <w:tcPr>
            <w:tcW w:w="959" w:type="dxa"/>
            <w:vAlign w:val="center"/>
            <w:textDirection w:val="lrTb"/>
            <w:noWrap w:val="false"/>
          </w:tcPr>
          <w:p>
            <w:pPr>
              <w:pStyle w:val="1083"/>
              <w:ind w:firstLine="560"/>
              <w:jc w:val="center"/>
              <w:spacing w:line="5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1843" w:type="dxa"/>
            <w:vAlign w:val="center"/>
            <w:textDirection w:val="lrTb"/>
            <w:noWrap w:val="false"/>
          </w:tcPr>
          <w:p>
            <w:pPr>
              <w:pStyle w:val="1083"/>
              <w:ind w:firstLine="560"/>
              <w:jc w:val="center"/>
              <w:spacing w:line="5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992" w:type="dxa"/>
            <w:vAlign w:val="center"/>
            <w:textDirection w:val="lrTb"/>
            <w:noWrap w:val="false"/>
          </w:tcPr>
          <w:p>
            <w:pPr>
              <w:pStyle w:val="1083"/>
              <w:ind w:firstLine="560"/>
              <w:jc w:val="center"/>
              <w:spacing w:line="5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1984" w:type="dxa"/>
            <w:vAlign w:val="center"/>
            <w:textDirection w:val="lrTb"/>
            <w:noWrap w:val="false"/>
          </w:tcPr>
          <w:p>
            <w:pPr>
              <w:pStyle w:val="1083"/>
              <w:ind w:firstLine="560"/>
              <w:jc w:val="center"/>
              <w:spacing w:line="5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1702" w:type="dxa"/>
            <w:vAlign w:val="center"/>
            <w:textDirection w:val="lrTb"/>
            <w:noWrap w:val="false"/>
          </w:tcPr>
          <w:p>
            <w:pPr>
              <w:pStyle w:val="1083"/>
              <w:ind w:firstLine="560"/>
              <w:jc w:val="center"/>
              <w:spacing w:line="5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962" w:type="dxa"/>
            <w:vAlign w:val="center"/>
            <w:textDirection w:val="lrTb"/>
            <w:noWrap w:val="false"/>
          </w:tcPr>
          <w:p>
            <w:pPr>
              <w:pStyle w:val="1083"/>
              <w:ind w:firstLine="560"/>
              <w:jc w:val="center"/>
              <w:spacing w:line="5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r>
      <w:tr>
        <w:trPr>
          <w:trHeight w:val="729"/>
        </w:trPr>
        <w:tc>
          <w:tcPr>
            <w:tcW w:w="959" w:type="dxa"/>
            <w:vAlign w:val="center"/>
            <w:textDirection w:val="lrTb"/>
            <w:noWrap w:val="false"/>
          </w:tcPr>
          <w:p>
            <w:pPr>
              <w:pStyle w:val="1083"/>
              <w:ind w:firstLine="560"/>
              <w:jc w:val="center"/>
              <w:spacing w:line="5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1843" w:type="dxa"/>
            <w:vAlign w:val="center"/>
            <w:textDirection w:val="lrTb"/>
            <w:noWrap w:val="false"/>
          </w:tcPr>
          <w:p>
            <w:pPr>
              <w:pStyle w:val="1083"/>
              <w:ind w:firstLine="560"/>
              <w:jc w:val="center"/>
              <w:spacing w:line="5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992" w:type="dxa"/>
            <w:vAlign w:val="center"/>
            <w:textDirection w:val="lrTb"/>
            <w:noWrap w:val="false"/>
          </w:tcPr>
          <w:p>
            <w:pPr>
              <w:pStyle w:val="1083"/>
              <w:ind w:firstLine="560"/>
              <w:jc w:val="center"/>
              <w:spacing w:line="5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1984" w:type="dxa"/>
            <w:vAlign w:val="center"/>
            <w:textDirection w:val="lrTb"/>
            <w:noWrap w:val="false"/>
          </w:tcPr>
          <w:p>
            <w:pPr>
              <w:pStyle w:val="1083"/>
              <w:ind w:firstLine="560"/>
              <w:jc w:val="center"/>
              <w:spacing w:line="5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1702" w:type="dxa"/>
            <w:vAlign w:val="center"/>
            <w:textDirection w:val="lrTb"/>
            <w:noWrap w:val="false"/>
          </w:tcPr>
          <w:p>
            <w:pPr>
              <w:pStyle w:val="1083"/>
              <w:ind w:firstLine="560"/>
              <w:jc w:val="center"/>
              <w:spacing w:line="5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962" w:type="dxa"/>
            <w:vAlign w:val="center"/>
            <w:textDirection w:val="lrTb"/>
            <w:noWrap w:val="false"/>
          </w:tcPr>
          <w:p>
            <w:pPr>
              <w:pStyle w:val="1083"/>
              <w:ind w:firstLine="560"/>
              <w:jc w:val="center"/>
              <w:spacing w:line="5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r>
      <w:tr>
        <w:trPr>
          <w:trHeight w:val="729"/>
        </w:trPr>
        <w:tc>
          <w:tcPr>
            <w:tcW w:w="959" w:type="dxa"/>
            <w:vAlign w:val="center"/>
            <w:textDirection w:val="lrTb"/>
            <w:noWrap w:val="false"/>
          </w:tcPr>
          <w:p>
            <w:pPr>
              <w:pStyle w:val="1083"/>
              <w:ind w:firstLine="560"/>
              <w:jc w:val="center"/>
              <w:spacing w:line="5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1843" w:type="dxa"/>
            <w:vAlign w:val="center"/>
            <w:textDirection w:val="lrTb"/>
            <w:noWrap w:val="false"/>
          </w:tcPr>
          <w:p>
            <w:pPr>
              <w:pStyle w:val="1083"/>
              <w:ind w:firstLine="560"/>
              <w:jc w:val="center"/>
              <w:spacing w:line="5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992" w:type="dxa"/>
            <w:vAlign w:val="center"/>
            <w:textDirection w:val="lrTb"/>
            <w:noWrap w:val="false"/>
          </w:tcPr>
          <w:p>
            <w:pPr>
              <w:pStyle w:val="1083"/>
              <w:ind w:firstLine="560"/>
              <w:jc w:val="center"/>
              <w:spacing w:line="5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1984" w:type="dxa"/>
            <w:vAlign w:val="center"/>
            <w:textDirection w:val="lrTb"/>
            <w:noWrap w:val="false"/>
          </w:tcPr>
          <w:p>
            <w:pPr>
              <w:pStyle w:val="1083"/>
              <w:ind w:firstLine="560"/>
              <w:jc w:val="center"/>
              <w:spacing w:line="5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1702" w:type="dxa"/>
            <w:vAlign w:val="center"/>
            <w:textDirection w:val="lrTb"/>
            <w:noWrap w:val="false"/>
          </w:tcPr>
          <w:p>
            <w:pPr>
              <w:pStyle w:val="1083"/>
              <w:ind w:firstLine="560"/>
              <w:jc w:val="center"/>
              <w:spacing w:line="5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962" w:type="dxa"/>
            <w:vAlign w:val="center"/>
            <w:textDirection w:val="lrTb"/>
            <w:noWrap w:val="false"/>
          </w:tcPr>
          <w:p>
            <w:pPr>
              <w:pStyle w:val="1083"/>
              <w:ind w:firstLine="560"/>
              <w:jc w:val="center"/>
              <w:spacing w:line="5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r>
    </w:tbl>
    <w:p>
      <w:pPr>
        <w:pStyle w:val="1014"/>
        <w:ind w:firstLine="398"/>
        <w:spacing w:line="460" w:lineRule="exact"/>
        <w:rPr>
          <w:rFonts w:hint="eastAsia" w:ascii="宋体" w:hAnsi="宋体" w:eastAsia="宋体" w:cs="宋体"/>
          <w:color w:val="auto"/>
          <w:highlight w:val="none"/>
        </w:rPr>
      </w:pPr>
      <w:r>
        <w:rPr>
          <w:rFonts w:hint="eastAsia" w:ascii="宋体" w:hAnsi="宋体" w:eastAsia="宋体" w:cs="宋体"/>
          <w:b/>
          <w:color w:val="auto"/>
          <w:highlight w:val="none"/>
          <w:lang w:bidi="ar"/>
        </w:rPr>
        <w:t xml:space="preserve">注：如供应商成交，项目组成员必须按本表承诺人员操作，不得随意更换。按磋商文件要求附相关人员证书。</w:t>
      </w:r>
      <w:r/>
    </w:p>
    <w:p>
      <w:pPr>
        <w:pStyle w:val="1014"/>
        <w:ind w:firstLine="280"/>
        <w:spacing w:line="500" w:lineRule="exact"/>
        <w:rPr>
          <w:rFonts w:hint="eastAsia" w:ascii="宋体" w:hAnsi="宋体" w:eastAsia="宋体" w:cs="宋体"/>
          <w:color w:val="auto"/>
          <w:highlight w:val="none"/>
        </w:rPr>
      </w:pPr>
      <w:r>
        <w:rPr>
          <w:rFonts w:hint="eastAsia" w:ascii="宋体" w:hAnsi="宋体" w:eastAsia="宋体" w:cs="宋体"/>
          <w:color w:val="auto"/>
          <w:highlight w:val="none"/>
        </w:rPr>
      </w:r>
      <w:r/>
    </w:p>
    <w:p>
      <w:pPr>
        <w:pStyle w:val="1084"/>
        <w:spacing w:line="500" w:lineRule="exact"/>
        <w:rPr>
          <w:rFonts w:hint="eastAsia" w:ascii="宋体" w:hAnsi="宋体" w:eastAsia="宋体" w:cs="宋体"/>
          <w:color w:val="auto"/>
          <w:highlight w:val="none"/>
        </w:rPr>
        <w:outlineLvl w:val="1"/>
      </w:pPr>
      <w:r>
        <w:rPr>
          <w:rFonts w:hint="eastAsia" w:ascii="宋体" w:hAnsi="宋体" w:eastAsia="宋体" w:cs="宋体"/>
          <w:color w:val="auto"/>
          <w:highlight w:val="none"/>
        </w:rPr>
        <w:br w:type="page" w:clear="all"/>
      </w:r>
      <w:bookmarkStart w:id="246" w:name="_Toc11176"/>
      <w:r/>
      <w:bookmarkStart w:id="247" w:name="_Toc31076"/>
      <w:r>
        <w:rPr>
          <w:rFonts w:hint="eastAsia" w:ascii="宋体" w:hAnsi="宋体" w:eastAsia="宋体" w:cs="宋体"/>
          <w:b/>
          <w:iCs/>
          <w:color w:val="auto"/>
          <w:sz w:val="32"/>
          <w:szCs w:val="32"/>
          <w:highlight w:val="none"/>
        </w:rPr>
        <w:t xml:space="preserve">十、</w:t>
      </w:r>
      <w:bookmarkEnd w:id="246"/>
      <w:r>
        <w:rPr>
          <w:rFonts w:hint="eastAsia" w:ascii="宋体" w:hAnsi="宋体" w:eastAsia="宋体" w:cs="宋体"/>
          <w:b/>
          <w:iCs/>
          <w:color w:val="auto"/>
          <w:sz w:val="32"/>
          <w:szCs w:val="32"/>
          <w:highlight w:val="none"/>
        </w:rPr>
        <w:t xml:space="preserve">企业业绩</w:t>
      </w:r>
      <w:bookmarkEnd w:id="247"/>
      <w:r/>
      <w:r/>
    </w:p>
    <w:p>
      <w:pPr>
        <w:pStyle w:val="1085"/>
        <w:jc w:val="cente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供应商承担类似项目业绩一览表</w:t>
      </w:r>
      <w:r/>
    </w:p>
    <w:tbl>
      <w:tblPr>
        <w:tblStyle w:val="735"/>
        <w:tblW w:w="888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229"/>
        <w:gridCol w:w="3827"/>
        <w:gridCol w:w="2433"/>
        <w:gridCol w:w="1395"/>
      </w:tblGrid>
      <w:tr>
        <w:trPr>
          <w:jc w:val="center"/>
          <w:trHeight w:val="753"/>
        </w:trPr>
        <w:tc>
          <w:tcPr>
            <w:tcW w:w="1229" w:type="dxa"/>
            <w:textDirection w:val="lrTb"/>
            <w:noWrap w:val="false"/>
          </w:tcPr>
          <w:p>
            <w:pPr>
              <w:pStyle w:val="1086"/>
              <w:jc w:val="center"/>
              <w:spacing w:line="56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序号</w:t>
            </w:r>
            <w:r/>
          </w:p>
        </w:tc>
        <w:tc>
          <w:tcPr>
            <w:tcW w:w="3827" w:type="dxa"/>
            <w:vAlign w:val="center"/>
            <w:textDirection w:val="lrTb"/>
            <w:noWrap w:val="false"/>
          </w:tcPr>
          <w:p>
            <w:pPr>
              <w:pStyle w:val="1086"/>
              <w:jc w:val="center"/>
              <w:spacing w:line="56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项目名称</w:t>
            </w:r>
            <w:r/>
          </w:p>
        </w:tc>
        <w:tc>
          <w:tcPr>
            <w:tcW w:w="2433" w:type="dxa"/>
            <w:vAlign w:val="center"/>
            <w:textDirection w:val="lrTb"/>
            <w:noWrap w:val="false"/>
          </w:tcPr>
          <w:p>
            <w:pPr>
              <w:pStyle w:val="1086"/>
              <w:jc w:val="center"/>
              <w:spacing w:line="56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采购单位</w:t>
            </w:r>
            <w:r/>
          </w:p>
        </w:tc>
        <w:tc>
          <w:tcPr>
            <w:tcW w:w="1395" w:type="dxa"/>
            <w:vAlign w:val="center"/>
            <w:textDirection w:val="lrTb"/>
            <w:noWrap w:val="false"/>
          </w:tcPr>
          <w:p>
            <w:pPr>
              <w:pStyle w:val="1086"/>
              <w:jc w:val="center"/>
              <w:spacing w:line="56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合同金额</w:t>
            </w:r>
            <w:r/>
          </w:p>
        </w:tc>
      </w:tr>
      <w:tr>
        <w:trPr>
          <w:jc w:val="center"/>
          <w:trHeight w:val="1510"/>
        </w:trPr>
        <w:tc>
          <w:tcPr>
            <w:tcW w:w="1229" w:type="dxa"/>
            <w:textDirection w:val="lrTb"/>
            <w:noWrap w:val="false"/>
          </w:tcPr>
          <w:p>
            <w:pPr>
              <w:pStyle w:val="1086"/>
              <w:jc w:val="center"/>
              <w:spacing w:line="560" w:lineRule="exact"/>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3827" w:type="dxa"/>
            <w:vAlign w:val="center"/>
            <w:textDirection w:val="lrTb"/>
            <w:noWrap w:val="false"/>
          </w:tcPr>
          <w:p>
            <w:pPr>
              <w:pStyle w:val="1086"/>
              <w:jc w:val="center"/>
              <w:spacing w:line="560" w:lineRule="exact"/>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433" w:type="dxa"/>
            <w:vAlign w:val="center"/>
            <w:textDirection w:val="lrTb"/>
            <w:noWrap w:val="false"/>
          </w:tcPr>
          <w:p>
            <w:pPr>
              <w:pStyle w:val="1086"/>
              <w:jc w:val="center"/>
              <w:spacing w:line="560" w:lineRule="exact"/>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395" w:type="dxa"/>
            <w:vAlign w:val="center"/>
            <w:textDirection w:val="lrTb"/>
            <w:noWrap w:val="false"/>
          </w:tcPr>
          <w:p>
            <w:pPr>
              <w:pStyle w:val="1086"/>
              <w:jc w:val="center"/>
              <w:spacing w:line="560" w:lineRule="exact"/>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r>
      <w:tr>
        <w:trPr>
          <w:jc w:val="center"/>
          <w:trHeight w:val="1510"/>
        </w:trPr>
        <w:tc>
          <w:tcPr>
            <w:tcW w:w="1229" w:type="dxa"/>
            <w:textDirection w:val="lrTb"/>
            <w:noWrap w:val="false"/>
          </w:tcPr>
          <w:p>
            <w:pPr>
              <w:pStyle w:val="1086"/>
              <w:jc w:val="center"/>
              <w:spacing w:line="560" w:lineRule="exact"/>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3827" w:type="dxa"/>
            <w:vAlign w:val="center"/>
            <w:textDirection w:val="lrTb"/>
            <w:noWrap w:val="false"/>
          </w:tcPr>
          <w:p>
            <w:pPr>
              <w:pStyle w:val="1086"/>
              <w:jc w:val="center"/>
              <w:spacing w:line="560" w:lineRule="exact"/>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433" w:type="dxa"/>
            <w:vAlign w:val="center"/>
            <w:textDirection w:val="lrTb"/>
            <w:noWrap w:val="false"/>
          </w:tcPr>
          <w:p>
            <w:pPr>
              <w:pStyle w:val="1086"/>
              <w:jc w:val="center"/>
              <w:spacing w:line="560" w:lineRule="exact"/>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395" w:type="dxa"/>
            <w:vAlign w:val="center"/>
            <w:textDirection w:val="lrTb"/>
            <w:noWrap w:val="false"/>
          </w:tcPr>
          <w:p>
            <w:pPr>
              <w:pStyle w:val="1086"/>
              <w:jc w:val="center"/>
              <w:spacing w:line="560" w:lineRule="exact"/>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r>
      <w:tr>
        <w:trPr>
          <w:jc w:val="center"/>
          <w:trHeight w:val="1510"/>
        </w:trPr>
        <w:tc>
          <w:tcPr>
            <w:tcW w:w="1229" w:type="dxa"/>
            <w:textDirection w:val="lrTb"/>
            <w:noWrap w:val="false"/>
          </w:tcPr>
          <w:p>
            <w:pPr>
              <w:pStyle w:val="1086"/>
              <w:jc w:val="center"/>
              <w:spacing w:line="560" w:lineRule="exact"/>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3827" w:type="dxa"/>
            <w:vAlign w:val="center"/>
            <w:textDirection w:val="lrTb"/>
            <w:noWrap w:val="false"/>
          </w:tcPr>
          <w:p>
            <w:pPr>
              <w:pStyle w:val="1086"/>
              <w:jc w:val="center"/>
              <w:spacing w:line="560" w:lineRule="exact"/>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433" w:type="dxa"/>
            <w:vAlign w:val="center"/>
            <w:textDirection w:val="lrTb"/>
            <w:noWrap w:val="false"/>
          </w:tcPr>
          <w:p>
            <w:pPr>
              <w:pStyle w:val="1086"/>
              <w:jc w:val="center"/>
              <w:spacing w:line="560" w:lineRule="exact"/>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395" w:type="dxa"/>
            <w:vAlign w:val="center"/>
            <w:textDirection w:val="lrTb"/>
            <w:noWrap w:val="false"/>
          </w:tcPr>
          <w:p>
            <w:pPr>
              <w:pStyle w:val="1086"/>
              <w:jc w:val="center"/>
              <w:spacing w:line="560" w:lineRule="exact"/>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r>
      <w:tr>
        <w:trPr>
          <w:jc w:val="center"/>
          <w:trHeight w:val="1525"/>
        </w:trPr>
        <w:tc>
          <w:tcPr>
            <w:tcW w:w="1229" w:type="dxa"/>
            <w:textDirection w:val="lrTb"/>
            <w:noWrap w:val="false"/>
          </w:tcPr>
          <w:p>
            <w:pPr>
              <w:pStyle w:val="1086"/>
              <w:jc w:val="center"/>
              <w:spacing w:line="560" w:lineRule="exact"/>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3827" w:type="dxa"/>
            <w:vAlign w:val="center"/>
            <w:textDirection w:val="lrTb"/>
            <w:noWrap w:val="false"/>
          </w:tcPr>
          <w:p>
            <w:pPr>
              <w:pStyle w:val="1086"/>
              <w:jc w:val="center"/>
              <w:spacing w:line="560" w:lineRule="exact"/>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433" w:type="dxa"/>
            <w:vAlign w:val="center"/>
            <w:textDirection w:val="lrTb"/>
            <w:noWrap w:val="false"/>
          </w:tcPr>
          <w:p>
            <w:pPr>
              <w:pStyle w:val="1086"/>
              <w:jc w:val="center"/>
              <w:spacing w:line="560" w:lineRule="exact"/>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395" w:type="dxa"/>
            <w:vAlign w:val="center"/>
            <w:textDirection w:val="lrTb"/>
            <w:noWrap w:val="false"/>
          </w:tcPr>
          <w:p>
            <w:pPr>
              <w:pStyle w:val="1086"/>
              <w:jc w:val="center"/>
              <w:spacing w:line="560" w:lineRule="exact"/>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r>
    </w:tbl>
    <w:p>
      <w:pPr>
        <w:pStyle w:val="1085"/>
        <w:rPr>
          <w:rFonts w:hint="eastAsia" w:ascii="宋体" w:hAnsi="宋体" w:eastAsia="宋体" w:cs="宋体"/>
          <w:color w:val="auto"/>
          <w:highlight w:val="none"/>
        </w:rPr>
      </w:pPr>
      <w:r>
        <w:rPr>
          <w:rFonts w:hint="eastAsia" w:ascii="宋体" w:hAnsi="宋体" w:eastAsia="宋体" w:cs="宋体"/>
          <w:b/>
          <w:color w:val="auto"/>
          <w:sz w:val="24"/>
          <w:highlight w:val="none"/>
        </w:rPr>
        <w:t xml:space="preserve">注：请填写此表，并按要求上传业绩资料电子件。</w:t>
      </w:r>
      <w:r/>
    </w:p>
    <w:p>
      <w:pPr>
        <w:jc w:val="left"/>
        <w:rPr>
          <w:rFonts w:hint="eastAsia" w:ascii="宋体" w:hAnsi="宋体" w:eastAsia="宋体" w:cs="宋体"/>
          <w:b/>
          <w:iCs/>
          <w:color w:val="auto"/>
          <w:sz w:val="32"/>
          <w:szCs w:val="32"/>
          <w:highlight w:val="none"/>
        </w:rPr>
        <w:outlineLvl w:val="1"/>
      </w:pPr>
      <w:r>
        <w:rPr>
          <w:rFonts w:hint="eastAsia" w:ascii="宋体" w:hAnsi="宋体" w:eastAsia="宋体" w:cs="宋体"/>
          <w:b/>
          <w:color w:val="auto"/>
          <w:sz w:val="32"/>
          <w:szCs w:val="32"/>
          <w:highlight w:val="none"/>
        </w:rPr>
        <w:br w:type="page" w:clear="all"/>
      </w:r>
      <w:bookmarkStart w:id="248" w:name="_Toc18471"/>
      <w:r/>
      <w:bookmarkStart w:id="249" w:name="_Toc28140"/>
      <w:r>
        <w:rPr>
          <w:rFonts w:hint="eastAsia" w:ascii="宋体" w:hAnsi="宋体" w:eastAsia="宋体" w:cs="宋体"/>
          <w:b/>
          <w:iCs/>
          <w:color w:val="auto"/>
          <w:sz w:val="32"/>
          <w:szCs w:val="32"/>
          <w:highlight w:val="none"/>
        </w:rPr>
        <w:t xml:space="preserve">十一、磋商所需其他材料</w:t>
      </w:r>
      <w:bookmarkEnd w:id="248"/>
      <w:r/>
      <w:bookmarkEnd w:id="249"/>
      <w:r/>
      <w:r/>
    </w:p>
    <w:p>
      <w:pPr>
        <w:pStyle w:val="1081"/>
        <w:ind w:firstLine="561"/>
        <w:keepLines w:val="0"/>
        <w:keepNext w:val="0"/>
        <w:pageBreakBefore w:val="0"/>
        <w:spacing w:before="181" w:line="360" w:lineRule="auto"/>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请在此文档中增加磋商所需其他相关内容（包括资格要求、评分办法、采购需求中涉及的证件证明及其它供应商认为有必要提供的资料），如没有请将此空文档上传。</w:t>
      </w:r>
      <w:r/>
    </w:p>
    <w:p>
      <w:pPr>
        <w:jc w:val="left"/>
        <w:rPr>
          <w:rFonts w:hint="eastAsia" w:ascii="宋体" w:hAnsi="宋体" w:eastAsia="宋体" w:cs="宋体"/>
          <w:b/>
          <w:bCs/>
          <w:color w:val="auto"/>
          <w:sz w:val="32"/>
          <w:szCs w:val="32"/>
          <w:highlight w:val="none"/>
        </w:rPr>
        <w:outlineLvl w:val="9"/>
      </w:pPr>
      <w:r>
        <w:rPr>
          <w:rFonts w:hint="eastAsia" w:ascii="宋体" w:hAnsi="宋体" w:eastAsia="宋体" w:cs="宋体"/>
          <w:b/>
          <w:bCs/>
          <w:color w:val="auto"/>
          <w:sz w:val="32"/>
          <w:szCs w:val="32"/>
          <w:highlight w:val="none"/>
        </w:rPr>
        <w:br w:type="page" w:clear="all"/>
      </w:r>
      <w:r>
        <w:rPr>
          <w:rFonts w:hint="eastAsia" w:ascii="宋体" w:hAnsi="宋体" w:eastAsia="宋体" w:cs="宋体"/>
          <w:b/>
          <w:iCs/>
          <w:color w:val="auto"/>
          <w:sz w:val="32"/>
          <w:szCs w:val="32"/>
          <w:highlight w:val="none"/>
        </w:rPr>
        <w:t xml:space="preserve">质疑函范本</w:t>
      </w:r>
      <w:r/>
    </w:p>
    <w:p>
      <w:pPr>
        <w:jc w:val="cente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 xml:space="preserve">质疑函范本</w:t>
      </w:r>
      <w:r/>
    </w:p>
    <w:p>
      <w:pPr>
        <w:spacing w:before="290"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一、质疑供应商基本信息</w:t>
      </w:r>
      <w:r/>
    </w:p>
    <w:p>
      <w:pPr>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质疑供应商：</w:t>
      </w:r>
      <w:r>
        <w:rPr>
          <w:rFonts w:hint="eastAsia" w:ascii="宋体" w:hAnsi="宋体" w:eastAsia="宋体" w:cs="宋体"/>
          <w:color w:val="auto"/>
          <w:sz w:val="24"/>
          <w:szCs w:val="24"/>
          <w:highlight w:val="none"/>
          <w:u w:val="single"/>
          <w:lang w:val="en-US" w:eastAsia="zh-CN"/>
        </w:rPr>
        <w:t xml:space="preserve">                              </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地址：</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邮编：</w:t>
      </w:r>
      <w:r>
        <w:rPr>
          <w:rFonts w:hint="eastAsia" w:ascii="宋体" w:hAnsi="宋体" w:eastAsia="宋体" w:cs="宋体"/>
          <w:color w:val="auto"/>
          <w:sz w:val="24"/>
          <w:szCs w:val="24"/>
          <w:highlight w:val="none"/>
          <w:u w:val="single"/>
          <w:lang w:val="en-US" w:eastAsia="zh-CN"/>
        </w:rPr>
        <w:t xml:space="preserve">                              </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联系人：</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none"/>
          <w:lang w:val="en-US" w:eastAsia="zh-CN"/>
        </w:rPr>
        <w:t xml:space="preserve"> </w:t>
      </w:r>
      <w:r>
        <w:rPr>
          <w:rFonts w:hint="eastAsia" w:ascii="宋体" w:hAnsi="宋体" w:eastAsia="宋体" w:cs="宋体"/>
          <w:color w:val="auto"/>
          <w:sz w:val="24"/>
          <w:szCs w:val="24"/>
          <w:highlight w:val="none"/>
        </w:rPr>
        <w:t xml:space="preserve">联系电话：</w:t>
      </w:r>
      <w:r>
        <w:rPr>
          <w:rFonts w:hint="eastAsia" w:ascii="宋体" w:hAnsi="宋体" w:eastAsia="宋体" w:cs="宋体"/>
          <w:color w:val="auto"/>
          <w:sz w:val="24"/>
          <w:szCs w:val="24"/>
          <w:highlight w:val="none"/>
          <w:u w:val="single"/>
          <w:lang w:val="en-US" w:eastAsia="zh-CN"/>
        </w:rPr>
        <w:t xml:space="preserve">                              </w:t>
      </w:r>
      <w:r/>
    </w:p>
    <w:p>
      <w:pPr>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授权代表：</w:t>
      </w:r>
      <w:r>
        <w:rPr>
          <w:rFonts w:hint="eastAsia" w:ascii="宋体" w:hAnsi="宋体" w:eastAsia="宋体" w:cs="宋体"/>
          <w:color w:val="auto"/>
          <w:sz w:val="24"/>
          <w:szCs w:val="24"/>
          <w:highlight w:val="none"/>
          <w:u w:val="single"/>
          <w:lang w:val="en-US" w:eastAsia="zh-CN"/>
        </w:rPr>
        <w:t xml:space="preserve">                              </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联系电话：</w:t>
      </w:r>
      <w:r>
        <w:rPr>
          <w:rFonts w:hint="eastAsia" w:ascii="宋体" w:hAnsi="宋体" w:eastAsia="宋体" w:cs="宋体"/>
          <w:color w:val="auto"/>
          <w:sz w:val="24"/>
          <w:szCs w:val="24"/>
          <w:highlight w:val="none"/>
          <w:u w:val="single"/>
          <w:lang w:val="en-US" w:eastAsia="zh-CN"/>
        </w:rPr>
        <w:t xml:space="preserve">                              </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地址：</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邮编：</w:t>
      </w:r>
      <w:r>
        <w:rPr>
          <w:rFonts w:hint="eastAsia" w:ascii="宋体" w:hAnsi="宋体" w:eastAsia="宋体" w:cs="宋体"/>
          <w:color w:val="auto"/>
          <w:sz w:val="24"/>
          <w:szCs w:val="24"/>
          <w:highlight w:val="none"/>
          <w:u w:val="single"/>
          <w:lang w:val="en-US" w:eastAsia="zh-CN"/>
        </w:rPr>
        <w:t xml:space="preserve">                              </w:t>
      </w:r>
      <w:r/>
    </w:p>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二、质疑项目基本情况</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质疑项目的名称：</w:t>
      </w:r>
      <w:r>
        <w:rPr>
          <w:rFonts w:hint="eastAsia" w:ascii="宋体" w:hAnsi="宋体" w:eastAsia="宋体" w:cs="宋体"/>
          <w:color w:val="auto"/>
          <w:sz w:val="24"/>
          <w:szCs w:val="24"/>
          <w:highlight w:val="none"/>
          <w:u w:val="single"/>
          <w:lang w:val="en-US" w:eastAsia="zh-CN"/>
        </w:rPr>
        <w:t xml:space="preserve">                              </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质疑项目的编号：</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包号：</w:t>
      </w:r>
      <w:r>
        <w:rPr>
          <w:rFonts w:hint="eastAsia" w:ascii="宋体" w:hAnsi="宋体" w:eastAsia="宋体" w:cs="宋体"/>
          <w:color w:val="auto"/>
          <w:sz w:val="24"/>
          <w:szCs w:val="24"/>
          <w:highlight w:val="none"/>
          <w:u w:val="single"/>
          <w:lang w:val="en-US" w:eastAsia="zh-CN"/>
        </w:rPr>
        <w:t xml:space="preserve">                              </w:t>
      </w:r>
      <w:r/>
    </w:p>
    <w:p>
      <w:pPr>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采购人名称：</w:t>
      </w:r>
      <w:r>
        <w:rPr>
          <w:rFonts w:hint="eastAsia" w:ascii="宋体" w:hAnsi="宋体" w:eastAsia="宋体" w:cs="宋体"/>
          <w:color w:val="auto"/>
          <w:sz w:val="24"/>
          <w:szCs w:val="24"/>
          <w:highlight w:val="none"/>
          <w:u w:val="single"/>
          <w:lang w:val="en-US" w:eastAsia="zh-CN"/>
        </w:rPr>
        <w:t xml:space="preserve">                              </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采购文件获取日期：</w:t>
      </w:r>
      <w:r>
        <w:rPr>
          <w:rFonts w:hint="eastAsia" w:ascii="宋体" w:hAnsi="宋体" w:eastAsia="宋体" w:cs="宋体"/>
          <w:color w:val="auto"/>
          <w:sz w:val="24"/>
          <w:szCs w:val="24"/>
          <w:highlight w:val="none"/>
          <w:u w:val="single"/>
          <w:lang w:val="en-US" w:eastAsia="zh-CN"/>
        </w:rPr>
        <w:t xml:space="preserve">                              </w:t>
      </w:r>
      <w:r/>
    </w:p>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三、质疑事项具体内容</w:t>
      </w:r>
      <w:r/>
    </w:p>
    <w:p>
      <w:pPr>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质疑事项1：</w:t>
      </w:r>
      <w:r/>
    </w:p>
    <w:p>
      <w:pPr>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事实依据：</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法律依据：</w:t>
      </w:r>
      <w:r/>
    </w:p>
    <w:p>
      <w:pPr>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r>
      <w:r/>
    </w:p>
    <w:p>
      <w:pPr>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质疑事项2</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p>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四、与质疑事项相关的质疑请求</w:t>
      </w:r>
      <w:r/>
    </w:p>
    <w:p>
      <w:pPr>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请求：</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签字(签章)：公章：</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w:t>
      </w:r>
      <w:r/>
    </w:p>
    <w:p>
      <w:pPr>
        <w:spacing w:line="40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spacing w:line="40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spacing w:line="40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spacing w:line="40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质疑函制作说明：</w:t>
      </w:r>
      <w:r/>
    </w:p>
    <w:p>
      <w:pPr>
        <w:ind w:firstLine="482"/>
        <w:jc w:val="left"/>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1.供应商提出质疑时，应提交质疑函和必要的证明材料。</w:t>
      </w:r>
      <w:r/>
    </w:p>
    <w:p>
      <w:pPr>
        <w:ind w:firstLine="482"/>
        <w:jc w:val="left"/>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firstLine="482"/>
        <w:jc w:val="left"/>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3.质疑供应商若对项目的某一分包进行质疑，质疑函中应列明具体分包号。</w:t>
      </w:r>
      <w:r/>
    </w:p>
    <w:p>
      <w:pPr>
        <w:ind w:firstLine="482"/>
        <w:jc w:val="left"/>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4.质疑函的质疑事项应具体、明确，并有必要的事实依据和法律依据。</w:t>
      </w:r>
      <w:r/>
    </w:p>
    <w:p>
      <w:pPr>
        <w:ind w:firstLine="482"/>
        <w:jc w:val="left"/>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5.质疑函的质疑请求应与质疑事项相关。</w:t>
      </w:r>
      <w:r/>
    </w:p>
    <w:p>
      <w:pPr>
        <w:ind w:firstLine="482"/>
        <w:jc w:val="left"/>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6.质疑供应商为自然人的，质疑函应由本人签字；质疑供应商为法人或者其他组织的，质疑函应由法定代表人、主要负责人，或者其授权代表签字或者盖章，并加盖公章。</w:t>
      </w:r>
      <w:r/>
    </w:p>
    <w:p>
      <w:pPr>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sectPr>
      <w:footerReference w:type="default" r:id="rId14"/>
      <w:footnotePr/>
      <w:endnotePr/>
      <w:type w:val="nextPage"/>
      <w:pgSz w:w="11906" w:h="16838" w:orient="portrait"/>
      <w:pgMar w:top="1418" w:right="1588" w:bottom="1418" w:left="1365" w:header="851" w:footer="964"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Sun">
    <w:panose1 w:val="02010600030101010101"/>
  </w:font>
  <w:font w:name="Symbol">
    <w:panose1 w:val="05050102010706020507"/>
  </w:font>
  <w:font w:name="Wingdings">
    <w:panose1 w:val="05000000000000000000"/>
  </w:font>
  <w:font w:name="方正黑体_GBK">
    <w:panose1 w:val="020B0503020202020204"/>
  </w:font>
  <w:font w:name="Tahoma">
    <w:panose1 w:val="020B0604030504040204"/>
  </w:font>
  <w:font w:name="Courier New">
    <w:panose1 w:val="02070309020205020404"/>
  </w:font>
  <w:font w:name="楷体_GB2312">
    <w:panose1 w:val="02010609060101010101"/>
  </w:font>
  <w:font w:name="Calibri">
    <w:panose1 w:val="020F0502020204030204"/>
  </w:font>
  <w:font w:name="仿宋_GB2312">
    <w:panose1 w:val="02010609060101010101"/>
  </w:font>
  <w:font w:name="Verdana">
    <w:panose1 w:val="020B0604030504040204"/>
  </w:font>
  <w:font w:name="幼圆">
    <w:panose1 w:val="02010509060101010101"/>
  </w:font>
  <w:font w:name="黑体">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9"/>
      <w:jc w:val="center"/>
      <w:rPr>
        <w:b/>
        <w:i/>
      </w:rPr>
    </w:pPr>
    <w:r>
      <w:rPr>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9"/>
      <w:rPr>
        <w:rStyle w:val="1024"/>
      </w:rPr>
      <w:framePr w:wrap="around" w:vAnchor="text" w:hAnchor="margin" w:xAlign="center" w:y="1"/>
    </w:pPr>
    <w:r>
      <w:fldChar w:fldCharType="begin"/>
    </w:r>
    <w:r>
      <w:rPr>
        <w:rStyle w:val="1024"/>
      </w:rPr>
      <w:instrText xml:space="preserve">PAGE  </w:instrText>
    </w:r>
    <w:r>
      <w:fldChar w:fldCharType="separate"/>
    </w:r>
    <w:r>
      <w:rPr>
        <w:rStyle w:val="1024"/>
      </w:rPr>
      <w:t xml:space="preserve">1</w:t>
    </w:r>
    <w:r>
      <w:fldChar w:fldCharType="end"/>
    </w:r>
    <w:r/>
  </w:p>
  <w:p>
    <w:pPr>
      <w:pStyle w:val="999"/>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9"/>
      <w:jc w:val="center"/>
      <w:rPr>
        <w:b/>
        <w:i/>
      </w:rPr>
    </w:pPr>
    <w:r>
      <w:rPr>
        <w:b/>
        <w:i/>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9"/>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pStyle w:val="999"/>
                            <w:tabs>
                              <w:tab w:val="clear" w:pos="4153" w:leader="none"/>
                              <w:tab w:val="clear" w:pos="8306" w:leader="none"/>
                            </w:tabs>
                          </w:pPr>
                          <w:r>
                            <w:fldChar w:fldCharType="begin"/>
                          </w:r>
                          <w:r>
                            <w:instrText xml:space="preserve"> PAGE  \* MERGEFORMAT </w:instrText>
                          </w:r>
                          <w:r>
                            <w:fldChar w:fldCharType="separate"/>
                          </w:r>
                          <w:r>
                            <w:t xml:space="preserve">0</w:t>
                          </w:r>
                          <w:r>
                            <w:fldChar w:fldCharType="end"/>
                          </w:r>
                          <w:r/>
                        </w:p>
                        <w:p>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99"/>
                      <w:tabs>
                        <w:tab w:val="clear" w:pos="4153" w:leader="none"/>
                        <w:tab w:val="clear" w:pos="8306" w:leader="none"/>
                      </w:tabs>
                    </w:pPr>
                    <w:r>
                      <w:fldChar w:fldCharType="begin"/>
                    </w:r>
                    <w:r>
                      <w:instrText xml:space="preserve"> PAGE  \* MERGEFORMAT </w:instrText>
                    </w:r>
                    <w:r>
                      <w:fldChar w:fldCharType="separate"/>
                    </w:r>
                    <w:r>
                      <w:t xml:space="preserve">0</w:t>
                    </w:r>
                    <w:r>
                      <w:fldChar w:fldCharType="end"/>
                    </w:r>
                    <w:r/>
                  </w:p>
                  <w:p>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9"/>
      <w:jc w:val="center"/>
      <w:rPr>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pStyle w:val="999"/>
                            <w:tabs>
                              <w:tab w:val="clear" w:pos="4153" w:leader="none"/>
                              <w:tab w:val="clear" w:pos="8306" w:leader="none"/>
                            </w:tabs>
                          </w:pPr>
                          <w:r>
                            <w:fldChar w:fldCharType="begin"/>
                          </w:r>
                          <w:r>
                            <w:instrText xml:space="preserve"> PAGE  \* MERGEFORMAT </w:instrText>
                          </w:r>
                          <w:r>
                            <w:fldChar w:fldCharType="separate"/>
                          </w:r>
                          <w:r>
                            <w:t xml:space="preserve">１</w:t>
                          </w:r>
                          <w:r>
                            <w:fldChar w:fldCharType="end"/>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99"/>
                      <w:tabs>
                        <w:tab w:val="clear" w:pos="4153" w:leader="none"/>
                        <w:tab w:val="clear" w:pos="8306" w:leader="none"/>
                      </w:tabs>
                    </w:pPr>
                    <w:r>
                      <w:fldChar w:fldCharType="begin"/>
                    </w:r>
                    <w:r>
                      <w:instrText xml:space="preserve"> PAGE  \* MERGEFORMAT </w:instrText>
                    </w:r>
                    <w:r>
                      <w:fldChar w:fldCharType="separate"/>
                    </w:r>
                    <w:r>
                      <w:t xml:space="preserve">１</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1"/>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upperLetter"/>
      <w:pStyle w:val="1043"/>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959"/>
      <w:isLgl w:val="false"/>
      <w:suff w:val="nothing"/>
      <w:lvlText w:val=""/>
      <w:lvlJc w:val="left"/>
      <w:pPr>
        <w:ind w:left="0" w:firstLine="0"/>
      </w:pPr>
      <w:rPr>
        <w:rFonts w:hint="eastAsia"/>
      </w:rPr>
    </w:lvl>
    <w:lvl w:ilvl="6">
      <w:start w:val="1"/>
      <w:numFmt w:val="decimal"/>
      <w:pStyle w:val="960"/>
      <w:isLgl w:val="false"/>
      <w:suff w:val="nothing"/>
      <w:lvlText w:val=""/>
      <w:lvlJc w:val="left"/>
      <w:pPr>
        <w:ind w:left="0" w:firstLine="0"/>
      </w:pPr>
      <w:rPr>
        <w:rFonts w:hint="eastAsia"/>
      </w:rPr>
    </w:lvl>
    <w:lvl w:ilvl="7">
      <w:start w:val="1"/>
      <w:numFmt w:val="decimal"/>
      <w:pStyle w:val="961"/>
      <w:isLgl w:val="false"/>
      <w:suff w:val="nothing"/>
      <w:lvlText w:val=""/>
      <w:lvlJc w:val="left"/>
      <w:pPr>
        <w:ind w:left="0" w:firstLine="0"/>
      </w:pPr>
      <w:rPr>
        <w:rFonts w:hint="eastAsia"/>
      </w:rPr>
    </w:lvl>
    <w:lvl w:ilvl="8">
      <w:start w:val="1"/>
      <w:numFmt w:val="decimal"/>
      <w:pStyle w:val="962"/>
      <w:isLgl w:val="false"/>
      <w:suff w:val="nothing"/>
      <w:lvlText w:val=""/>
      <w:lvlJc w:val="left"/>
      <w:pPr>
        <w:ind w:left="0" w:firstLine="0"/>
      </w:pPr>
      <w:rPr>
        <w:rFonts w:hint="eastAsia"/>
      </w:rPr>
    </w:lvl>
  </w:abstractNum>
  <w:abstractNum w:abstractNumId="2">
    <w:multiLevelType w:val="hybridMultilevel"/>
    <w:lvl w:ilvl="0">
      <w:start w:val="1"/>
      <w:numFmt w:val="decimal"/>
      <w:pStyle w:val="1050"/>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24" w:default="1">
    <w:name w:val="Normal"/>
    <w:link w:val="1111"/>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725">
    <w:name w:val="Heading 1"/>
    <w:basedOn w:val="724"/>
    <w:next w:val="724"/>
    <w:link w:val="806"/>
    <w:uiPriority w:val="9"/>
    <w:qFormat/>
    <w:pPr>
      <w:keepLines/>
      <w:keepNext/>
      <w:spacing w:before="480" w:after="200"/>
      <w:outlineLvl w:val="0"/>
    </w:pPr>
    <w:rPr>
      <w:rFonts w:ascii="Arial" w:hAnsi="Arial" w:eastAsia="Arial" w:cs="Arial"/>
      <w:sz w:val="40"/>
      <w:szCs w:val="40"/>
    </w:rPr>
  </w:style>
  <w:style w:type="paragraph" w:styleId="726">
    <w:name w:val="Heading 2"/>
    <w:basedOn w:val="724"/>
    <w:next w:val="724"/>
    <w:link w:val="807"/>
    <w:uiPriority w:val="9"/>
    <w:unhideWhenUsed/>
    <w:qFormat/>
    <w:pPr>
      <w:keepLines/>
      <w:keepNext/>
      <w:spacing w:before="360" w:after="200"/>
      <w:outlineLvl w:val="1"/>
    </w:pPr>
    <w:rPr>
      <w:rFonts w:ascii="Arial" w:hAnsi="Arial" w:eastAsia="Arial" w:cs="Arial"/>
      <w:sz w:val="34"/>
    </w:rPr>
  </w:style>
  <w:style w:type="paragraph" w:styleId="727">
    <w:name w:val="Heading 3"/>
    <w:basedOn w:val="724"/>
    <w:next w:val="724"/>
    <w:link w:val="808"/>
    <w:uiPriority w:val="9"/>
    <w:unhideWhenUsed/>
    <w:qFormat/>
    <w:pPr>
      <w:keepLines/>
      <w:keepNext/>
      <w:spacing w:before="320" w:after="200"/>
      <w:outlineLvl w:val="2"/>
    </w:pPr>
    <w:rPr>
      <w:rFonts w:ascii="Arial" w:hAnsi="Arial" w:eastAsia="Arial" w:cs="Arial"/>
      <w:sz w:val="30"/>
      <w:szCs w:val="30"/>
    </w:rPr>
  </w:style>
  <w:style w:type="paragraph" w:styleId="728">
    <w:name w:val="Heading 4"/>
    <w:basedOn w:val="724"/>
    <w:next w:val="724"/>
    <w:link w:val="809"/>
    <w:uiPriority w:val="9"/>
    <w:unhideWhenUsed/>
    <w:qFormat/>
    <w:pPr>
      <w:keepLines/>
      <w:keepNext/>
      <w:spacing w:before="320" w:after="200"/>
      <w:outlineLvl w:val="3"/>
    </w:pPr>
    <w:rPr>
      <w:rFonts w:ascii="Arial" w:hAnsi="Arial" w:eastAsia="Arial" w:cs="Arial"/>
      <w:b/>
      <w:bCs/>
      <w:sz w:val="26"/>
      <w:szCs w:val="26"/>
    </w:rPr>
  </w:style>
  <w:style w:type="paragraph" w:styleId="729">
    <w:name w:val="Heading 5"/>
    <w:basedOn w:val="724"/>
    <w:next w:val="724"/>
    <w:link w:val="810"/>
    <w:uiPriority w:val="9"/>
    <w:unhideWhenUsed/>
    <w:qFormat/>
    <w:pPr>
      <w:keepLines/>
      <w:keepNext/>
      <w:spacing w:before="320" w:after="200"/>
      <w:outlineLvl w:val="4"/>
    </w:pPr>
    <w:rPr>
      <w:rFonts w:ascii="Arial" w:hAnsi="Arial" w:eastAsia="Arial" w:cs="Arial"/>
      <w:b/>
      <w:bCs/>
      <w:sz w:val="24"/>
      <w:szCs w:val="24"/>
    </w:rPr>
  </w:style>
  <w:style w:type="paragraph" w:styleId="730">
    <w:name w:val="Heading 6"/>
    <w:basedOn w:val="724"/>
    <w:next w:val="724"/>
    <w:link w:val="811"/>
    <w:uiPriority w:val="9"/>
    <w:unhideWhenUsed/>
    <w:qFormat/>
    <w:pPr>
      <w:keepLines/>
      <w:keepNext/>
      <w:spacing w:before="320" w:after="200"/>
      <w:outlineLvl w:val="5"/>
    </w:pPr>
    <w:rPr>
      <w:rFonts w:ascii="Arial" w:hAnsi="Arial" w:eastAsia="Arial" w:cs="Arial"/>
      <w:b/>
      <w:bCs/>
      <w:sz w:val="22"/>
    </w:rPr>
  </w:style>
  <w:style w:type="paragraph" w:styleId="731">
    <w:name w:val="Heading 7"/>
    <w:basedOn w:val="724"/>
    <w:next w:val="724"/>
    <w:link w:val="812"/>
    <w:uiPriority w:val="9"/>
    <w:unhideWhenUsed/>
    <w:qFormat/>
    <w:pPr>
      <w:keepLines/>
      <w:keepNext/>
      <w:spacing w:before="320" w:after="200"/>
      <w:outlineLvl w:val="6"/>
    </w:pPr>
    <w:rPr>
      <w:rFonts w:ascii="Arial" w:hAnsi="Arial" w:eastAsia="Arial" w:cs="Arial"/>
      <w:b/>
      <w:bCs/>
      <w:i/>
      <w:iCs/>
      <w:sz w:val="22"/>
    </w:rPr>
  </w:style>
  <w:style w:type="paragraph" w:styleId="732">
    <w:name w:val="Heading 8"/>
    <w:basedOn w:val="724"/>
    <w:next w:val="724"/>
    <w:link w:val="813"/>
    <w:uiPriority w:val="9"/>
    <w:unhideWhenUsed/>
    <w:qFormat/>
    <w:pPr>
      <w:keepLines/>
      <w:keepNext/>
      <w:spacing w:before="320" w:after="200"/>
      <w:outlineLvl w:val="7"/>
    </w:pPr>
    <w:rPr>
      <w:rFonts w:ascii="Arial" w:hAnsi="Arial" w:eastAsia="Arial" w:cs="Arial"/>
      <w:i/>
      <w:iCs/>
      <w:sz w:val="22"/>
    </w:rPr>
  </w:style>
  <w:style w:type="paragraph" w:styleId="733">
    <w:name w:val="Heading 9"/>
    <w:basedOn w:val="724"/>
    <w:next w:val="724"/>
    <w:link w:val="814"/>
    <w:uiPriority w:val="9"/>
    <w:unhideWhenUsed/>
    <w:qFormat/>
    <w:pPr>
      <w:keepLines/>
      <w:keepNext/>
      <w:spacing w:before="320" w:after="200"/>
      <w:outlineLvl w:val="8"/>
    </w:pPr>
    <w:rPr>
      <w:rFonts w:ascii="Arial" w:hAnsi="Arial" w:eastAsia="Arial" w:cs="Arial"/>
      <w:i/>
      <w:iCs/>
      <w:szCs w:val="21"/>
    </w:rPr>
  </w:style>
  <w:style w:type="character" w:styleId="734" w:default="1">
    <w:name w:val="Default Paragraph Font"/>
    <w:uiPriority w:val="1"/>
    <w:semiHidden/>
    <w:unhideWhenUsed/>
    <w:qFormat/>
  </w:style>
  <w:style w:type="table" w:styleId="735" w:default="1">
    <w:name w:val="Normal Table"/>
    <w:uiPriority w:val="99"/>
    <w:semiHidden/>
    <w:unhideWhenUsed/>
    <w:qFormat/>
    <w:tblPr>
      <w:tblCellMar>
        <w:left w:w="108" w:type="dxa"/>
        <w:top w:w="0" w:type="dxa"/>
        <w:right w:w="108" w:type="dxa"/>
        <w:bottom w:w="0" w:type="dxa"/>
      </w:tblCellMar>
    </w:tblPr>
  </w:style>
  <w:style w:type="paragraph" w:styleId="736">
    <w:name w:val="toc 7"/>
    <w:basedOn w:val="724"/>
    <w:next w:val="724"/>
    <w:uiPriority w:val="39"/>
    <w:unhideWhenUsed/>
    <w:qFormat/>
    <w:pPr>
      <w:ind w:left="1701"/>
      <w:spacing w:after="57"/>
    </w:pPr>
  </w:style>
  <w:style w:type="paragraph" w:styleId="737">
    <w:name w:val="Caption"/>
    <w:basedOn w:val="724"/>
    <w:next w:val="724"/>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38">
    <w:name w:val="annotation text"/>
    <w:basedOn w:val="724"/>
    <w:uiPriority w:val="99"/>
    <w:qFormat/>
    <w:pPr>
      <w:jc w:val="left"/>
    </w:pPr>
    <w:rPr>
      <w:szCs w:val="20"/>
    </w:rPr>
  </w:style>
  <w:style w:type="paragraph" w:styleId="739">
    <w:name w:val="Body Text Indent"/>
    <w:basedOn w:val="724"/>
    <w:uiPriority w:val="0"/>
    <w:qFormat/>
    <w:pPr>
      <w:ind w:firstLine="225"/>
    </w:pPr>
    <w:rPr>
      <w:rFonts w:ascii="仿宋_GB2312" w:eastAsia="仿宋_GB2312"/>
      <w:sz w:val="32"/>
    </w:rPr>
  </w:style>
  <w:style w:type="paragraph" w:styleId="740">
    <w:name w:val="toc 5"/>
    <w:basedOn w:val="724"/>
    <w:next w:val="724"/>
    <w:uiPriority w:val="39"/>
    <w:unhideWhenUsed/>
    <w:qFormat/>
    <w:pPr>
      <w:ind w:left="1134"/>
      <w:spacing w:after="57"/>
    </w:pPr>
  </w:style>
  <w:style w:type="paragraph" w:styleId="741">
    <w:name w:val="toc 3"/>
    <w:basedOn w:val="724"/>
    <w:next w:val="724"/>
    <w:uiPriority w:val="39"/>
    <w:unhideWhenUsed/>
    <w:qFormat/>
    <w:pPr>
      <w:ind w:left="567"/>
      <w:spacing w:after="57"/>
    </w:pPr>
  </w:style>
  <w:style w:type="paragraph" w:styleId="742">
    <w:name w:val="toc 8"/>
    <w:basedOn w:val="724"/>
    <w:next w:val="724"/>
    <w:uiPriority w:val="39"/>
    <w:unhideWhenUsed/>
    <w:qFormat/>
    <w:pPr>
      <w:ind w:left="1984"/>
      <w:spacing w:after="57"/>
    </w:pPr>
  </w:style>
  <w:style w:type="paragraph" w:styleId="743">
    <w:name w:val="endnote text"/>
    <w:basedOn w:val="724"/>
    <w:link w:val="952"/>
    <w:uiPriority w:val="99"/>
    <w:semiHidden/>
    <w:unhideWhenUsed/>
    <w:qFormat/>
    <w:rPr>
      <w:sz w:val="20"/>
    </w:rPr>
  </w:style>
  <w:style w:type="paragraph" w:styleId="744">
    <w:name w:val="Footer"/>
    <w:basedOn w:val="724"/>
    <w:link w:val="825"/>
    <w:uiPriority w:val="99"/>
    <w:unhideWhenUsed/>
    <w:qFormat/>
    <w:pPr>
      <w:tabs>
        <w:tab w:val="center" w:pos="7143" w:leader="none"/>
        <w:tab w:val="right" w:pos="14287" w:leader="none"/>
      </w:tabs>
    </w:pPr>
  </w:style>
  <w:style w:type="paragraph" w:styleId="745">
    <w:name w:val="envelope return"/>
    <w:basedOn w:val="746"/>
    <w:uiPriority w:val="0"/>
    <w:qFormat/>
    <w:rPr>
      <w:rFonts w:ascii="Arial" w:hAnsi="Arial" w:cs="Arial"/>
      <w:szCs w:val="24"/>
    </w:rPr>
  </w:style>
  <w:style w:type="paragraph" w:styleId="746" w:customStyle="1">
    <w:name w:val="正文_2"/>
    <w:next w:val="747"/>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747" w:customStyle="1">
    <w:name w:val="列表接续 2_0"/>
    <w:basedOn w:val="746"/>
    <w:next w:val="748"/>
    <w:uiPriority w:val="0"/>
    <w:qFormat/>
    <w:pPr>
      <w:ind w:left="840"/>
      <w:spacing w:after="120"/>
    </w:pPr>
    <w:rPr>
      <w:rFonts w:ascii="Calibri" w:hAnsi="Calibri"/>
    </w:rPr>
  </w:style>
  <w:style w:type="paragraph" w:styleId="748" w:customStyle="1">
    <w:name w:val="目录 4_0"/>
    <w:basedOn w:val="746"/>
    <w:next w:val="746"/>
    <w:uiPriority w:val="0"/>
    <w:qFormat/>
    <w:pPr>
      <w:ind w:left="630"/>
      <w:jc w:val="left"/>
    </w:pPr>
    <w:rPr>
      <w:rFonts w:ascii="Calibri" w:hAnsi="Calibri" w:cs="Calibri"/>
      <w:sz w:val="18"/>
      <w:szCs w:val="18"/>
    </w:rPr>
  </w:style>
  <w:style w:type="paragraph" w:styleId="749">
    <w:name w:val="Header"/>
    <w:basedOn w:val="724"/>
    <w:link w:val="823"/>
    <w:uiPriority w:val="99"/>
    <w:unhideWhenUsed/>
    <w:qFormat/>
    <w:pPr>
      <w:tabs>
        <w:tab w:val="center" w:pos="7143" w:leader="none"/>
        <w:tab w:val="right" w:pos="14287" w:leader="none"/>
      </w:tabs>
    </w:pPr>
  </w:style>
  <w:style w:type="paragraph" w:styleId="750">
    <w:name w:val="toc 1"/>
    <w:basedOn w:val="724"/>
    <w:next w:val="724"/>
    <w:uiPriority w:val="39"/>
    <w:unhideWhenUsed/>
    <w:qFormat/>
    <w:pPr>
      <w:spacing w:after="57"/>
    </w:pPr>
  </w:style>
  <w:style w:type="paragraph" w:styleId="751">
    <w:name w:val="toc 4"/>
    <w:basedOn w:val="724"/>
    <w:next w:val="724"/>
    <w:uiPriority w:val="39"/>
    <w:unhideWhenUsed/>
    <w:qFormat/>
    <w:pPr>
      <w:ind w:left="850"/>
      <w:spacing w:after="57"/>
    </w:pPr>
  </w:style>
  <w:style w:type="paragraph" w:styleId="752">
    <w:name w:val="Subtitle"/>
    <w:basedOn w:val="724"/>
    <w:next w:val="724"/>
    <w:link w:val="818"/>
    <w:uiPriority w:val="11"/>
    <w:qFormat/>
    <w:pPr>
      <w:spacing w:before="200" w:after="200"/>
    </w:pPr>
    <w:rPr>
      <w:sz w:val="24"/>
      <w:szCs w:val="24"/>
    </w:rPr>
  </w:style>
  <w:style w:type="paragraph" w:styleId="753">
    <w:name w:val="footnote text"/>
    <w:basedOn w:val="724"/>
    <w:link w:val="951"/>
    <w:uiPriority w:val="99"/>
    <w:semiHidden/>
    <w:unhideWhenUsed/>
    <w:qFormat/>
    <w:pPr>
      <w:spacing w:after="40"/>
    </w:pPr>
    <w:rPr>
      <w:sz w:val="18"/>
    </w:rPr>
  </w:style>
  <w:style w:type="paragraph" w:styleId="754">
    <w:name w:val="toc 6"/>
    <w:basedOn w:val="724"/>
    <w:next w:val="724"/>
    <w:uiPriority w:val="39"/>
    <w:unhideWhenUsed/>
    <w:qFormat/>
    <w:pPr>
      <w:ind w:left="1417"/>
      <w:spacing w:after="57"/>
    </w:pPr>
  </w:style>
  <w:style w:type="paragraph" w:styleId="755">
    <w:name w:val="table of figures"/>
    <w:basedOn w:val="724"/>
    <w:next w:val="724"/>
    <w:uiPriority w:val="99"/>
    <w:unhideWhenUsed/>
    <w:qFormat/>
  </w:style>
  <w:style w:type="paragraph" w:styleId="756">
    <w:name w:val="toc 2"/>
    <w:basedOn w:val="724"/>
    <w:next w:val="724"/>
    <w:uiPriority w:val="39"/>
    <w:unhideWhenUsed/>
    <w:qFormat/>
    <w:pPr>
      <w:ind w:left="283"/>
      <w:spacing w:after="57"/>
    </w:pPr>
  </w:style>
  <w:style w:type="paragraph" w:styleId="757">
    <w:name w:val="toc 9"/>
    <w:basedOn w:val="724"/>
    <w:next w:val="724"/>
    <w:uiPriority w:val="39"/>
    <w:unhideWhenUsed/>
    <w:qFormat/>
    <w:pPr>
      <w:ind w:left="2268"/>
      <w:spacing w:after="57"/>
    </w:pPr>
  </w:style>
  <w:style w:type="paragraph" w:styleId="758">
    <w:name w:val="List Continue 2"/>
    <w:basedOn w:val="724"/>
    <w:next w:val="751"/>
    <w:uiPriority w:val="0"/>
    <w:qFormat/>
    <w:pPr>
      <w:ind w:left="840"/>
      <w:spacing w:after="120"/>
    </w:pPr>
  </w:style>
  <w:style w:type="paragraph" w:styleId="759">
    <w:name w:val="Normal (Web)"/>
    <w:basedOn w:val="724"/>
    <w:uiPriority w:val="99"/>
    <w:qFormat/>
    <w:pPr>
      <w:jc w:val="left"/>
      <w:spacing w:before="100" w:beforeAutospacing="1" w:after="100" w:afterAutospacing="1"/>
      <w:widowControl/>
    </w:pPr>
    <w:rPr>
      <w:rFonts w:ascii="宋体" w:hAnsi="宋体" w:cs="宋体"/>
      <w:sz w:val="24"/>
      <w:szCs w:val="24"/>
    </w:rPr>
  </w:style>
  <w:style w:type="paragraph" w:styleId="760">
    <w:name w:val="Title"/>
    <w:basedOn w:val="724"/>
    <w:next w:val="739"/>
    <w:link w:val="817"/>
    <w:uiPriority w:val="10"/>
    <w:qFormat/>
    <w:pPr>
      <w:contextualSpacing/>
      <w:ind w:firstLine="480"/>
    </w:pPr>
    <w:rPr>
      <w:sz w:val="48"/>
      <w:szCs w:val="48"/>
    </w:rPr>
  </w:style>
  <w:style w:type="paragraph" w:styleId="761">
    <w:name w:val="Body Text First Indent 2"/>
    <w:basedOn w:val="739"/>
    <w:uiPriority w:val="0"/>
    <w:qFormat/>
    <w:pPr>
      <w:ind w:left="0" w:firstLine="420"/>
      <w:spacing w:after="0" w:line="360" w:lineRule="auto"/>
    </w:pPr>
    <w:rPr>
      <w:rFonts w:ascii="宋体" w:hAnsi="宋体" w:eastAsia="宋体" w:cs="Times New Roman"/>
      <w:szCs w:val="20"/>
    </w:rPr>
  </w:style>
  <w:style w:type="table" w:styleId="762">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63">
    <w:name w:val="endnote reference"/>
    <w:uiPriority w:val="99"/>
    <w:semiHidden/>
    <w:unhideWhenUsed/>
    <w:qFormat/>
    <w:rPr>
      <w:vertAlign w:val="superscript"/>
    </w:rPr>
  </w:style>
  <w:style w:type="character" w:styleId="764">
    <w:name w:val="Hyperlink"/>
    <w:uiPriority w:val="99"/>
    <w:unhideWhenUsed/>
    <w:qFormat/>
    <w:rPr>
      <w:color w:val="0000ff" w:themeColor="hyperlink"/>
      <w:u w:val="single"/>
      <w14:textFill>
        <w14:solidFill>
          <w14:schemeClr w14:val="hlink"/>
        </w14:solidFill>
      </w14:textFill>
    </w:rPr>
  </w:style>
  <w:style w:type="character" w:styleId="765">
    <w:name w:val="footnote reference"/>
    <w:uiPriority w:val="99"/>
    <w:unhideWhenUsed/>
    <w:qFormat/>
    <w:rPr>
      <w:vertAlign w:val="superscript"/>
    </w:rPr>
  </w:style>
  <w:style w:type="paragraph" w:styleId="766" w:customStyle="1">
    <w:name w:val="TOC 标题1"/>
    <w:next w:val="724"/>
    <w:uiPriority w:val="39"/>
    <w:unhideWhenUsed/>
    <w:qFormat/>
    <w:rPr>
      <w:rFonts w:hint="default" w:ascii="Times New Roman" w:hAnsi="Times New Roman" w:eastAsia="宋体" w:cs="Times New Roman"/>
      <w:lang w:val="en-US" w:eastAsia="zh-CN" w:bidi="ar-SA"/>
    </w:rPr>
  </w:style>
  <w:style w:type="paragraph" w:styleId="767" w:customStyle="1">
    <w:name w:val="正文首行缩进 2_0"/>
    <w:basedOn w:val="768"/>
    <w:uiPriority w:val="0"/>
    <w:qFormat/>
    <w:pPr>
      <w:ind w:left="420" w:firstLine="420"/>
      <w:spacing w:before="0" w:after="120" w:line="240" w:lineRule="auto"/>
    </w:pPr>
    <w:rPr>
      <w:rFonts w:ascii="Times New Roman" w:hAnsi="Times New Roman"/>
      <w:szCs w:val="24"/>
    </w:rPr>
  </w:style>
  <w:style w:type="paragraph" w:styleId="768" w:customStyle="1">
    <w:name w:val="正文文本缩进_0"/>
    <w:basedOn w:val="746"/>
    <w:next w:val="745"/>
    <w:uiPriority w:val="0"/>
    <w:unhideWhenUsed/>
    <w:qFormat/>
    <w:pPr>
      <w:ind w:firstLine="552"/>
      <w:spacing w:before="240" w:line="360" w:lineRule="auto"/>
    </w:pPr>
    <w:rPr>
      <w:rFonts w:ascii="宋体" w:hAnsi="宋体"/>
      <w:szCs w:val="20"/>
    </w:rPr>
  </w:style>
  <w:style w:type="character" w:styleId="769" w:customStyle="1">
    <w:name w:val="Heading 1 Char"/>
    <w:basedOn w:val="734"/>
    <w:uiPriority w:val="9"/>
    <w:qFormat/>
    <w:rPr>
      <w:rFonts w:ascii="Arial" w:hAnsi="Arial" w:eastAsia="Arial" w:cs="Arial"/>
      <w:sz w:val="40"/>
      <w:szCs w:val="40"/>
    </w:rPr>
  </w:style>
  <w:style w:type="character" w:styleId="770" w:customStyle="1">
    <w:name w:val="Heading 2 Char"/>
    <w:basedOn w:val="734"/>
    <w:uiPriority w:val="9"/>
    <w:qFormat/>
    <w:rPr>
      <w:rFonts w:ascii="Arial" w:hAnsi="Arial" w:eastAsia="Arial" w:cs="Arial"/>
      <w:sz w:val="34"/>
    </w:rPr>
  </w:style>
  <w:style w:type="character" w:styleId="771" w:customStyle="1">
    <w:name w:val="Heading 3 Char"/>
    <w:basedOn w:val="734"/>
    <w:uiPriority w:val="9"/>
    <w:qFormat/>
    <w:rPr>
      <w:rFonts w:ascii="Arial" w:hAnsi="Arial" w:eastAsia="Arial" w:cs="Arial"/>
      <w:sz w:val="30"/>
      <w:szCs w:val="30"/>
    </w:rPr>
  </w:style>
  <w:style w:type="character" w:styleId="772" w:customStyle="1">
    <w:name w:val="Heading 4 Char"/>
    <w:basedOn w:val="734"/>
    <w:uiPriority w:val="9"/>
    <w:qFormat/>
    <w:rPr>
      <w:rFonts w:ascii="Arial" w:hAnsi="Arial" w:eastAsia="Arial" w:cs="Arial"/>
      <w:b/>
      <w:bCs/>
      <w:sz w:val="26"/>
      <w:szCs w:val="26"/>
    </w:rPr>
  </w:style>
  <w:style w:type="character" w:styleId="773" w:customStyle="1">
    <w:name w:val="Heading 5 Char"/>
    <w:basedOn w:val="734"/>
    <w:uiPriority w:val="9"/>
    <w:qFormat/>
    <w:rPr>
      <w:rFonts w:ascii="Arial" w:hAnsi="Arial" w:eastAsia="Arial" w:cs="Arial"/>
      <w:b/>
      <w:bCs/>
      <w:sz w:val="24"/>
      <w:szCs w:val="24"/>
    </w:rPr>
  </w:style>
  <w:style w:type="character" w:styleId="774" w:customStyle="1">
    <w:name w:val="Heading 6 Char"/>
    <w:basedOn w:val="734"/>
    <w:uiPriority w:val="9"/>
    <w:qFormat/>
    <w:rPr>
      <w:rFonts w:ascii="Arial" w:hAnsi="Arial" w:eastAsia="Arial" w:cs="Arial"/>
      <w:b/>
      <w:bCs/>
      <w:sz w:val="22"/>
      <w:szCs w:val="22"/>
    </w:rPr>
  </w:style>
  <w:style w:type="character" w:styleId="775" w:customStyle="1">
    <w:name w:val="Heading 7 Char"/>
    <w:basedOn w:val="734"/>
    <w:uiPriority w:val="9"/>
    <w:qFormat/>
    <w:rPr>
      <w:rFonts w:ascii="Arial" w:hAnsi="Arial" w:eastAsia="Arial" w:cs="Arial"/>
      <w:b/>
      <w:bCs/>
      <w:i/>
      <w:iCs/>
      <w:sz w:val="22"/>
      <w:szCs w:val="22"/>
    </w:rPr>
  </w:style>
  <w:style w:type="character" w:styleId="776" w:customStyle="1">
    <w:name w:val="Heading 8 Char"/>
    <w:basedOn w:val="734"/>
    <w:uiPriority w:val="9"/>
    <w:qFormat/>
    <w:rPr>
      <w:rFonts w:ascii="Arial" w:hAnsi="Arial" w:eastAsia="Arial" w:cs="Arial"/>
      <w:i/>
      <w:iCs/>
      <w:sz w:val="22"/>
      <w:szCs w:val="22"/>
    </w:rPr>
  </w:style>
  <w:style w:type="character" w:styleId="777" w:customStyle="1">
    <w:name w:val="Heading 9 Char"/>
    <w:basedOn w:val="734"/>
    <w:uiPriority w:val="9"/>
    <w:qFormat/>
    <w:rPr>
      <w:rFonts w:ascii="Arial" w:hAnsi="Arial" w:eastAsia="Arial" w:cs="Arial"/>
      <w:i/>
      <w:iCs/>
      <w:sz w:val="21"/>
      <w:szCs w:val="21"/>
    </w:rPr>
  </w:style>
  <w:style w:type="character" w:styleId="778" w:customStyle="1">
    <w:name w:val="Title Char"/>
    <w:basedOn w:val="734"/>
    <w:uiPriority w:val="10"/>
    <w:qFormat/>
    <w:rPr>
      <w:sz w:val="48"/>
      <w:szCs w:val="48"/>
    </w:rPr>
  </w:style>
  <w:style w:type="character" w:styleId="779" w:customStyle="1">
    <w:name w:val="Subtitle Char"/>
    <w:basedOn w:val="734"/>
    <w:uiPriority w:val="11"/>
    <w:qFormat/>
    <w:rPr>
      <w:sz w:val="24"/>
      <w:szCs w:val="24"/>
    </w:rPr>
  </w:style>
  <w:style w:type="character" w:styleId="780" w:customStyle="1">
    <w:name w:val="Quote Char"/>
    <w:uiPriority w:val="29"/>
    <w:qFormat/>
    <w:rPr>
      <w:i/>
    </w:rPr>
  </w:style>
  <w:style w:type="character" w:styleId="781" w:customStyle="1">
    <w:name w:val="Intense Quote Char"/>
    <w:uiPriority w:val="30"/>
    <w:qFormat/>
    <w:rPr>
      <w:i/>
    </w:rPr>
  </w:style>
  <w:style w:type="character" w:styleId="782" w:customStyle="1">
    <w:name w:val="Header Char"/>
    <w:basedOn w:val="734"/>
    <w:uiPriority w:val="99"/>
    <w:qFormat/>
  </w:style>
  <w:style w:type="character" w:styleId="783" w:customStyle="1">
    <w:name w:val="Caption Char"/>
    <w:uiPriority w:val="99"/>
    <w:qFormat/>
  </w:style>
  <w:style w:type="table" w:styleId="784" w:customStyle="1">
    <w:name w:val="Plain Table 1"/>
    <w:basedOn w:val="735"/>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5" w:customStyle="1">
    <w:name w:val="Plain Table 2"/>
    <w:basedOn w:val="735"/>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6" w:customStyle="1">
    <w:name w:val="Plain Table 3"/>
    <w:basedOn w:val="73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7" w:customStyle="1">
    <w:name w:val="Plain Table 4"/>
    <w:basedOn w:val="73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8" w:customStyle="1">
    <w:name w:val="Plain Table 5"/>
    <w:basedOn w:val="73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89" w:customStyle="1">
    <w:name w:val="Grid Table 1 Light"/>
    <w:basedOn w:val="735"/>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90" w:customStyle="1">
    <w:name w:val="Grid Table 2"/>
    <w:basedOn w:val="735"/>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91" w:customStyle="1">
    <w:name w:val="Grid Table 3"/>
    <w:basedOn w:val="735"/>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2" w:customStyle="1">
    <w:name w:val="Grid Table 4"/>
    <w:basedOn w:val="735"/>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3" w:customStyle="1">
    <w:name w:val="Grid Table 5 Dark"/>
    <w:basedOn w:val="73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94" w:customStyle="1">
    <w:name w:val="Grid Table 6 Colorful"/>
    <w:basedOn w:val="735"/>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95" w:customStyle="1">
    <w:name w:val="Grid Table 7 Colorful"/>
    <w:basedOn w:val="735"/>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96" w:customStyle="1">
    <w:name w:val="List Table 1 Light"/>
    <w:basedOn w:val="735"/>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7" w:customStyle="1">
    <w:name w:val="List Table 2"/>
    <w:basedOn w:val="735"/>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98" w:customStyle="1">
    <w:name w:val="List Table 3"/>
    <w:basedOn w:val="735"/>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99" w:customStyle="1">
    <w:name w:val="List Table 4"/>
    <w:basedOn w:val="735"/>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00" w:customStyle="1">
    <w:name w:val="List Table 5 Dark"/>
    <w:basedOn w:val="735"/>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1" w:customStyle="1">
    <w:name w:val="List Table 6 Colorful"/>
    <w:basedOn w:val="735"/>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02" w:customStyle="1">
    <w:name w:val="List Table 7 Colorful"/>
    <w:basedOn w:val="735"/>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803" w:customStyle="1">
    <w:name w:val="Footnote Text Char"/>
    <w:uiPriority w:val="99"/>
    <w:qFormat/>
    <w:rPr>
      <w:sz w:val="18"/>
    </w:rPr>
  </w:style>
  <w:style w:type="character" w:styleId="804" w:customStyle="1">
    <w:name w:val="Endnote Text Char"/>
    <w:uiPriority w:val="99"/>
    <w:qFormat/>
    <w:rPr>
      <w:sz w:val="20"/>
    </w:rPr>
  </w:style>
  <w:style w:type="paragraph" w:styleId="805" w:customStyle="1">
    <w:name w:val="TOC Heading"/>
    <w:uiPriority w:val="39"/>
    <w:unhideWhenUsed/>
    <w:qFormat/>
    <w:rPr>
      <w:rFonts w:hint="default" w:ascii="Times New Roman" w:hAnsi="Times New Roman" w:eastAsia="宋体" w:cs="Times New Roman"/>
    </w:rPr>
  </w:style>
  <w:style w:type="character" w:styleId="806" w:customStyle="1">
    <w:name w:val="标题 1 字符"/>
    <w:link w:val="725"/>
    <w:uiPriority w:val="9"/>
    <w:qFormat/>
    <w:rPr>
      <w:rFonts w:ascii="Arial" w:hAnsi="Arial" w:eastAsia="Arial" w:cs="Arial"/>
      <w:sz w:val="40"/>
      <w:szCs w:val="40"/>
    </w:rPr>
  </w:style>
  <w:style w:type="character" w:styleId="807" w:customStyle="1">
    <w:name w:val="标题 2 字符1"/>
    <w:link w:val="726"/>
    <w:uiPriority w:val="9"/>
    <w:qFormat/>
    <w:rPr>
      <w:rFonts w:ascii="Arial" w:hAnsi="Arial" w:eastAsia="Arial" w:cs="Arial"/>
      <w:sz w:val="34"/>
    </w:rPr>
  </w:style>
  <w:style w:type="character" w:styleId="808" w:customStyle="1">
    <w:name w:val="标题 3 字符"/>
    <w:link w:val="727"/>
    <w:uiPriority w:val="9"/>
    <w:qFormat/>
    <w:rPr>
      <w:rFonts w:ascii="Arial" w:hAnsi="Arial" w:eastAsia="Arial" w:cs="Arial"/>
      <w:sz w:val="30"/>
      <w:szCs w:val="30"/>
    </w:rPr>
  </w:style>
  <w:style w:type="character" w:styleId="809" w:customStyle="1">
    <w:name w:val="标题 4 字符1"/>
    <w:link w:val="728"/>
    <w:uiPriority w:val="9"/>
    <w:qFormat/>
    <w:rPr>
      <w:rFonts w:ascii="Arial" w:hAnsi="Arial" w:eastAsia="Arial" w:cs="Arial"/>
      <w:b/>
      <w:bCs/>
      <w:sz w:val="26"/>
      <w:szCs w:val="26"/>
    </w:rPr>
  </w:style>
  <w:style w:type="character" w:styleId="810" w:customStyle="1">
    <w:name w:val="标题 5 字符"/>
    <w:link w:val="729"/>
    <w:uiPriority w:val="9"/>
    <w:qFormat/>
    <w:rPr>
      <w:rFonts w:ascii="Arial" w:hAnsi="Arial" w:eastAsia="Arial" w:cs="Arial"/>
      <w:b/>
      <w:bCs/>
      <w:sz w:val="24"/>
      <w:szCs w:val="24"/>
    </w:rPr>
  </w:style>
  <w:style w:type="character" w:styleId="811" w:customStyle="1">
    <w:name w:val="标题 6 字符"/>
    <w:link w:val="730"/>
    <w:uiPriority w:val="9"/>
    <w:qFormat/>
    <w:rPr>
      <w:rFonts w:ascii="Arial" w:hAnsi="Arial" w:eastAsia="Arial" w:cs="Arial"/>
      <w:b/>
      <w:bCs/>
      <w:sz w:val="22"/>
      <w:szCs w:val="22"/>
    </w:rPr>
  </w:style>
  <w:style w:type="character" w:styleId="812" w:customStyle="1">
    <w:name w:val="标题 7 字符"/>
    <w:link w:val="731"/>
    <w:uiPriority w:val="9"/>
    <w:qFormat/>
    <w:rPr>
      <w:rFonts w:ascii="Arial" w:hAnsi="Arial" w:eastAsia="Arial" w:cs="Arial"/>
      <w:b/>
      <w:bCs/>
      <w:i/>
      <w:iCs/>
      <w:sz w:val="22"/>
      <w:szCs w:val="22"/>
    </w:rPr>
  </w:style>
  <w:style w:type="character" w:styleId="813" w:customStyle="1">
    <w:name w:val="标题 8 字符"/>
    <w:link w:val="732"/>
    <w:uiPriority w:val="9"/>
    <w:qFormat/>
    <w:rPr>
      <w:rFonts w:ascii="Arial" w:hAnsi="Arial" w:eastAsia="Arial" w:cs="Arial"/>
      <w:i/>
      <w:iCs/>
      <w:sz w:val="22"/>
      <w:szCs w:val="22"/>
    </w:rPr>
  </w:style>
  <w:style w:type="character" w:styleId="814" w:customStyle="1">
    <w:name w:val="标题 9 字符"/>
    <w:link w:val="733"/>
    <w:uiPriority w:val="9"/>
    <w:qFormat/>
    <w:rPr>
      <w:rFonts w:ascii="Arial" w:hAnsi="Arial" w:eastAsia="Arial" w:cs="Arial"/>
      <w:i/>
      <w:iCs/>
      <w:sz w:val="21"/>
      <w:szCs w:val="21"/>
    </w:rPr>
  </w:style>
  <w:style w:type="paragraph" w:styleId="815">
    <w:name w:val="List Paragraph"/>
    <w:basedOn w:val="724"/>
    <w:uiPriority w:val="34"/>
    <w:qFormat/>
    <w:pPr>
      <w:contextualSpacing/>
      <w:ind w:left="720"/>
    </w:pPr>
  </w:style>
  <w:style w:type="paragraph" w:styleId="816">
    <w:name w:val="No Spacing"/>
    <w:uiPriority w:val="1"/>
    <w:qFormat/>
    <w:rPr>
      <w:rFonts w:hint="default" w:ascii="Times New Roman" w:hAnsi="Times New Roman" w:eastAsia="宋体" w:cs="Times New Roman"/>
      <w:lang w:val="en-US" w:eastAsia="zh-CN" w:bidi="ar-SA"/>
    </w:rPr>
  </w:style>
  <w:style w:type="character" w:styleId="817" w:customStyle="1">
    <w:name w:val="标题 字符"/>
    <w:link w:val="760"/>
    <w:uiPriority w:val="10"/>
    <w:qFormat/>
    <w:rPr>
      <w:sz w:val="48"/>
      <w:szCs w:val="48"/>
    </w:rPr>
  </w:style>
  <w:style w:type="character" w:styleId="818" w:customStyle="1">
    <w:name w:val="副标题 字符"/>
    <w:link w:val="752"/>
    <w:uiPriority w:val="11"/>
    <w:qFormat/>
    <w:rPr>
      <w:sz w:val="24"/>
      <w:szCs w:val="24"/>
    </w:rPr>
  </w:style>
  <w:style w:type="paragraph" w:styleId="819">
    <w:name w:val="Quote"/>
    <w:basedOn w:val="724"/>
    <w:next w:val="724"/>
    <w:link w:val="820"/>
    <w:uiPriority w:val="29"/>
    <w:qFormat/>
    <w:pPr>
      <w:ind w:left="720" w:right="720"/>
    </w:pPr>
    <w:rPr>
      <w:i/>
    </w:rPr>
  </w:style>
  <w:style w:type="character" w:styleId="820" w:customStyle="1">
    <w:name w:val="引用 字符"/>
    <w:link w:val="819"/>
    <w:uiPriority w:val="29"/>
    <w:qFormat/>
    <w:rPr>
      <w:i/>
    </w:rPr>
  </w:style>
  <w:style w:type="paragraph" w:styleId="821">
    <w:name w:val="Intense Quote"/>
    <w:basedOn w:val="724"/>
    <w:next w:val="724"/>
    <w:link w:val="822"/>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22" w:customStyle="1">
    <w:name w:val="明显引用 字符"/>
    <w:link w:val="821"/>
    <w:uiPriority w:val="30"/>
    <w:qFormat/>
    <w:rPr>
      <w:i/>
    </w:rPr>
  </w:style>
  <w:style w:type="character" w:styleId="823" w:customStyle="1">
    <w:name w:val="页眉 字符"/>
    <w:link w:val="749"/>
    <w:uiPriority w:val="99"/>
    <w:qFormat/>
  </w:style>
  <w:style w:type="character" w:styleId="824" w:customStyle="1">
    <w:name w:val="Footer Char"/>
    <w:uiPriority w:val="99"/>
    <w:qFormat/>
  </w:style>
  <w:style w:type="character" w:styleId="825" w:customStyle="1">
    <w:name w:val="页脚 字符"/>
    <w:link w:val="744"/>
    <w:uiPriority w:val="99"/>
    <w:qFormat/>
  </w:style>
  <w:style w:type="table" w:styleId="826"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27"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28"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29"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30"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31"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32"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33"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34"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35"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36"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37"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38"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39"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40"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41"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42"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43"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44"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45"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46"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7"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8"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9"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0"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1"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2"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3"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54"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55"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56"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57"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58"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59"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60"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61"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62"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63"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64"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65"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66"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67"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68"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69"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70"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71"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72"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73"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74"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75"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76"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77"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78"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79"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80"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81"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82"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83"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84"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85"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86"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87"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88"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89"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90"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91"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92"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93"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94"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95"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96"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97"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98"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99"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00"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01"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02"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03"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04"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05"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06"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07"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08"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09"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0"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1"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2"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3"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4"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5"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6"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17"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18"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19"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20"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21"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22"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23"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24"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25"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26"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27"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28"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29"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30"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31"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32"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33"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34"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35"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36"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37"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38"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39"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40"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41"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42"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43"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44"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45"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46"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47"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48"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49"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50"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51" w:customStyle="1">
    <w:name w:val="脚注文本 字符"/>
    <w:link w:val="753"/>
    <w:uiPriority w:val="99"/>
    <w:qFormat/>
    <w:rPr>
      <w:sz w:val="18"/>
    </w:rPr>
  </w:style>
  <w:style w:type="character" w:styleId="952" w:customStyle="1">
    <w:name w:val="尾注文本 字符"/>
    <w:link w:val="743"/>
    <w:uiPriority w:val="99"/>
    <w:qFormat/>
    <w:rPr>
      <w:sz w:val="20"/>
    </w:rPr>
  </w:style>
  <w:style w:type="paragraph" w:styleId="953" w:customStyle="1">
    <w:name w:val="标题 11"/>
    <w:basedOn w:val="724"/>
    <w:next w:val="724"/>
    <w:link w:val="965"/>
    <w:uiPriority w:val="0"/>
    <w:qFormat/>
    <w:pPr>
      <w:jc w:val="center"/>
      <w:keepNext/>
      <w:outlineLvl w:val="0"/>
    </w:pPr>
    <w:rPr>
      <w:rFonts w:ascii="楷体_GB2312" w:eastAsia="楷体_GB2312"/>
      <w:sz w:val="28"/>
      <w:szCs w:val="28"/>
    </w:rPr>
  </w:style>
  <w:style w:type="paragraph" w:styleId="954" w:customStyle="1">
    <w:name w:val="标题 211"/>
    <w:basedOn w:val="724"/>
    <w:next w:val="955"/>
    <w:link w:val="966"/>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955" w:customStyle="1">
    <w:name w:val="正文缩进1"/>
    <w:basedOn w:val="724"/>
    <w:link w:val="967"/>
    <w:uiPriority w:val="0"/>
    <w:qFormat/>
    <w:pPr>
      <w:ind w:firstLine="420"/>
    </w:pPr>
    <w:rPr>
      <w:szCs w:val="21"/>
    </w:rPr>
  </w:style>
  <w:style w:type="paragraph" w:styleId="956" w:customStyle="1">
    <w:name w:val="标题 31"/>
    <w:basedOn w:val="724"/>
    <w:next w:val="955"/>
    <w:link w:val="968"/>
    <w:uiPriority w:val="0"/>
    <w:qFormat/>
    <w:pPr>
      <w:keepLines/>
      <w:keepNext/>
      <w:spacing w:before="260" w:after="260" w:line="416" w:lineRule="auto"/>
      <w:outlineLvl w:val="2"/>
    </w:pPr>
    <w:rPr>
      <w:b/>
      <w:bCs/>
      <w:sz w:val="32"/>
      <w:szCs w:val="32"/>
    </w:rPr>
  </w:style>
  <w:style w:type="paragraph" w:styleId="957" w:customStyle="1">
    <w:name w:val="标题 41"/>
    <w:basedOn w:val="724"/>
    <w:next w:val="955"/>
    <w:link w:val="969"/>
    <w:uiPriority w:val="0"/>
    <w:qFormat/>
    <w:pPr>
      <w:keepLines/>
      <w:keepNext/>
      <w:spacing w:before="280" w:after="290" w:line="376" w:lineRule="auto"/>
      <w:outlineLvl w:val="3"/>
    </w:pPr>
    <w:rPr>
      <w:rFonts w:ascii="Arial" w:hAnsi="Arial" w:eastAsia="黑体" w:cs="Arial"/>
      <w:b/>
      <w:bCs/>
      <w:sz w:val="28"/>
      <w:szCs w:val="28"/>
    </w:rPr>
  </w:style>
  <w:style w:type="paragraph" w:styleId="958" w:customStyle="1">
    <w:name w:val="标题 51"/>
    <w:basedOn w:val="724"/>
    <w:next w:val="955"/>
    <w:link w:val="970"/>
    <w:uiPriority w:val="0"/>
    <w:qFormat/>
    <w:pPr>
      <w:keepNext/>
      <w:outlineLvl w:val="4"/>
    </w:pPr>
    <w:rPr>
      <w:rFonts w:ascii="宋体"/>
      <w:color w:val="000000"/>
      <w:sz w:val="28"/>
      <w:szCs w:val="28"/>
    </w:rPr>
  </w:style>
  <w:style w:type="paragraph" w:styleId="959" w:customStyle="1">
    <w:name w:val="标题 61"/>
    <w:basedOn w:val="724"/>
    <w:next w:val="724"/>
    <w:link w:val="971"/>
    <w:uiPriority w:val="0"/>
    <w:qFormat/>
    <w:pPr>
      <w:numPr>
        <w:ilvl w:val="5"/>
        <w:numId w:val="1"/>
      </w:numPr>
      <w:keepLines/>
      <w:keepNext/>
      <w:spacing w:before="240" w:after="64" w:line="320" w:lineRule="auto"/>
      <w:outlineLvl w:val="5"/>
    </w:pPr>
    <w:rPr>
      <w:rFonts w:ascii="Arial" w:hAnsi="Arial" w:eastAsia="黑体"/>
      <w:b/>
      <w:bCs/>
      <w:sz w:val="24"/>
      <w:szCs w:val="24"/>
    </w:rPr>
  </w:style>
  <w:style w:type="paragraph" w:styleId="960" w:customStyle="1">
    <w:name w:val="标题 71"/>
    <w:basedOn w:val="724"/>
    <w:next w:val="724"/>
    <w:link w:val="972"/>
    <w:uiPriority w:val="0"/>
    <w:qFormat/>
    <w:pPr>
      <w:numPr>
        <w:ilvl w:val="6"/>
        <w:numId w:val="1"/>
      </w:numPr>
      <w:keepLines/>
      <w:keepNext/>
      <w:spacing w:before="240" w:after="64" w:line="320" w:lineRule="auto"/>
      <w:outlineLvl w:val="6"/>
    </w:pPr>
    <w:rPr>
      <w:b/>
      <w:bCs/>
      <w:sz w:val="24"/>
      <w:szCs w:val="24"/>
    </w:rPr>
  </w:style>
  <w:style w:type="paragraph" w:styleId="961" w:customStyle="1">
    <w:name w:val="标题 81"/>
    <w:basedOn w:val="724"/>
    <w:next w:val="724"/>
    <w:link w:val="973"/>
    <w:uiPriority w:val="0"/>
    <w:qFormat/>
    <w:pPr>
      <w:numPr>
        <w:ilvl w:val="7"/>
        <w:numId w:val="1"/>
      </w:numPr>
      <w:keepLines/>
      <w:keepNext/>
      <w:spacing w:before="240" w:after="64" w:line="320" w:lineRule="auto"/>
      <w:outlineLvl w:val="7"/>
    </w:pPr>
    <w:rPr>
      <w:rFonts w:ascii="Arial" w:hAnsi="Arial" w:eastAsia="黑体"/>
      <w:sz w:val="24"/>
      <w:szCs w:val="24"/>
    </w:rPr>
  </w:style>
  <w:style w:type="paragraph" w:styleId="962" w:customStyle="1">
    <w:name w:val="标题 91"/>
    <w:basedOn w:val="724"/>
    <w:next w:val="724"/>
    <w:link w:val="974"/>
    <w:uiPriority w:val="0"/>
    <w:qFormat/>
    <w:pPr>
      <w:numPr>
        <w:ilvl w:val="8"/>
        <w:numId w:val="1"/>
      </w:numPr>
      <w:keepLines/>
      <w:keepNext/>
      <w:spacing w:before="240" w:after="64" w:line="320" w:lineRule="auto"/>
      <w:outlineLvl w:val="8"/>
    </w:pPr>
    <w:rPr>
      <w:rFonts w:ascii="Arial" w:hAnsi="Arial" w:eastAsia="黑体"/>
      <w:szCs w:val="21"/>
    </w:rPr>
  </w:style>
  <w:style w:type="character" w:styleId="963" w:customStyle="1">
    <w:name w:val="默认段落字体1"/>
    <w:uiPriority w:val="1"/>
    <w:unhideWhenUsed/>
    <w:qFormat/>
  </w:style>
  <w:style w:type="table" w:styleId="964" w:customStyle="1">
    <w:name w:val="普通表格1"/>
    <w:uiPriority w:val="99"/>
    <w:unhideWhenUsed/>
    <w:qFormat/>
    <w:tblPr>
      <w:tblCellMar>
        <w:left w:w="0" w:type="dxa"/>
        <w:top w:w="0" w:type="dxa"/>
        <w:right w:w="0" w:type="dxa"/>
        <w:bottom w:w="0" w:type="dxa"/>
      </w:tblCellMar>
    </w:tblPr>
  </w:style>
  <w:style w:type="character" w:styleId="965" w:customStyle="1">
    <w:name w:val="标题 1 Char"/>
    <w:link w:val="953"/>
    <w:uiPriority w:val="0"/>
    <w:qFormat/>
    <w:rPr>
      <w:rFonts w:ascii="楷体_GB2312" w:hAnsi="Times New Roman" w:eastAsia="楷体_GB2312" w:cs="Times New Roman"/>
      <w:sz w:val="28"/>
      <w:szCs w:val="28"/>
    </w:rPr>
  </w:style>
  <w:style w:type="character" w:styleId="966" w:customStyle="1">
    <w:name w:val="标题 2 Char"/>
    <w:link w:val="954"/>
    <w:uiPriority w:val="0"/>
    <w:qFormat/>
    <w:rPr>
      <w:rFonts w:ascii="Arial" w:hAnsi="Arial" w:eastAsia="幼圆" w:cs="Arial"/>
      <w:b/>
      <w:bCs/>
      <w:sz w:val="44"/>
      <w:szCs w:val="44"/>
    </w:rPr>
  </w:style>
  <w:style w:type="character" w:styleId="967" w:customStyle="1">
    <w:name w:val="正文缩进 Char"/>
    <w:link w:val="955"/>
    <w:uiPriority w:val="0"/>
    <w:qFormat/>
    <w:rPr>
      <w:szCs w:val="21"/>
    </w:rPr>
  </w:style>
  <w:style w:type="character" w:styleId="968" w:customStyle="1">
    <w:name w:val="标题 3 Char"/>
    <w:link w:val="956"/>
    <w:uiPriority w:val="0"/>
    <w:qFormat/>
    <w:rPr>
      <w:rFonts w:ascii="Times New Roman" w:hAnsi="Times New Roman" w:eastAsia="宋体" w:cs="Times New Roman"/>
      <w:b/>
      <w:bCs/>
      <w:sz w:val="32"/>
      <w:szCs w:val="32"/>
    </w:rPr>
  </w:style>
  <w:style w:type="character" w:styleId="969" w:customStyle="1">
    <w:name w:val="标题 4 Char"/>
    <w:link w:val="957"/>
    <w:uiPriority w:val="0"/>
    <w:qFormat/>
    <w:rPr>
      <w:rFonts w:ascii="Arial" w:hAnsi="Arial" w:eastAsia="黑体" w:cs="Arial"/>
      <w:b/>
      <w:bCs/>
      <w:sz w:val="28"/>
      <w:szCs w:val="28"/>
    </w:rPr>
  </w:style>
  <w:style w:type="character" w:styleId="970" w:customStyle="1">
    <w:name w:val="标题 5 Char"/>
    <w:link w:val="958"/>
    <w:uiPriority w:val="0"/>
    <w:qFormat/>
    <w:rPr>
      <w:rFonts w:ascii="宋体" w:hAnsi="Times New Roman" w:eastAsia="宋体" w:cs="Times New Roman"/>
      <w:color w:val="000000"/>
      <w:sz w:val="28"/>
      <w:szCs w:val="28"/>
    </w:rPr>
  </w:style>
  <w:style w:type="character" w:styleId="971" w:customStyle="1">
    <w:name w:val="标题 6 Char"/>
    <w:link w:val="959"/>
    <w:uiPriority w:val="0"/>
    <w:qFormat/>
    <w:rPr>
      <w:rFonts w:ascii="Arial" w:hAnsi="Arial" w:eastAsia="黑体" w:cs="Times New Roman"/>
      <w:b/>
      <w:bCs/>
      <w:sz w:val="24"/>
      <w:szCs w:val="24"/>
    </w:rPr>
  </w:style>
  <w:style w:type="character" w:styleId="972" w:customStyle="1">
    <w:name w:val="标题 7 Char"/>
    <w:link w:val="960"/>
    <w:uiPriority w:val="0"/>
    <w:qFormat/>
    <w:rPr>
      <w:rFonts w:ascii="Times New Roman" w:hAnsi="Times New Roman" w:eastAsia="宋体" w:cs="Times New Roman"/>
      <w:b/>
      <w:bCs/>
      <w:sz w:val="24"/>
      <w:szCs w:val="24"/>
    </w:rPr>
  </w:style>
  <w:style w:type="character" w:styleId="973" w:customStyle="1">
    <w:name w:val="标题 8 Char"/>
    <w:link w:val="961"/>
    <w:uiPriority w:val="0"/>
    <w:qFormat/>
    <w:rPr>
      <w:rFonts w:ascii="Arial" w:hAnsi="Arial" w:eastAsia="黑体" w:cs="Times New Roman"/>
      <w:sz w:val="24"/>
      <w:szCs w:val="24"/>
    </w:rPr>
  </w:style>
  <w:style w:type="character" w:styleId="974" w:customStyle="1">
    <w:name w:val="标题 9 Char"/>
    <w:link w:val="962"/>
    <w:uiPriority w:val="0"/>
    <w:qFormat/>
    <w:rPr>
      <w:rFonts w:ascii="Arial" w:hAnsi="Arial" w:eastAsia="黑体" w:cs="Times New Roman"/>
      <w:szCs w:val="21"/>
    </w:rPr>
  </w:style>
  <w:style w:type="paragraph" w:styleId="975" w:customStyle="1">
    <w:name w:val="列表 31"/>
    <w:basedOn w:val="724"/>
    <w:uiPriority w:val="0"/>
    <w:qFormat/>
    <w:pPr>
      <w:ind w:left="100" w:hanging="200"/>
    </w:pPr>
    <w:rPr>
      <w:szCs w:val="21"/>
    </w:rPr>
  </w:style>
  <w:style w:type="paragraph" w:styleId="976" w:customStyle="1">
    <w:name w:val="目录 71"/>
    <w:basedOn w:val="724"/>
    <w:next w:val="724"/>
    <w:uiPriority w:val="0"/>
    <w:semiHidden/>
    <w:qFormat/>
    <w:pPr>
      <w:ind w:left="1260"/>
      <w:jc w:val="left"/>
    </w:pPr>
    <w:rPr>
      <w:szCs w:val="21"/>
    </w:rPr>
  </w:style>
  <w:style w:type="paragraph" w:styleId="977" w:customStyle="1">
    <w:name w:val="文档结构图1"/>
    <w:basedOn w:val="724"/>
    <w:link w:val="978"/>
    <w:uiPriority w:val="0"/>
    <w:semiHidden/>
    <w:qFormat/>
    <w:pPr>
      <w:shd w:val="clear" w:color="auto" w:fill="000080"/>
    </w:pPr>
    <w:rPr>
      <w:szCs w:val="21"/>
    </w:rPr>
  </w:style>
  <w:style w:type="character" w:styleId="978" w:customStyle="1">
    <w:name w:val="文档结构图 Char"/>
    <w:link w:val="977"/>
    <w:uiPriority w:val="0"/>
    <w:semiHidden/>
    <w:qFormat/>
    <w:rPr>
      <w:rFonts w:ascii="Times New Roman" w:hAnsi="Times New Roman" w:eastAsia="宋体" w:cs="Times New Roman"/>
      <w:szCs w:val="21"/>
      <w:shd w:val="clear" w:color="auto" w:fill="000080"/>
    </w:rPr>
  </w:style>
  <w:style w:type="paragraph" w:styleId="979" w:customStyle="1">
    <w:name w:val="批注文字11"/>
    <w:basedOn w:val="724"/>
    <w:link w:val="980"/>
    <w:uiPriority w:val="0"/>
    <w:unhideWhenUsed/>
    <w:qFormat/>
    <w:pPr>
      <w:jc w:val="left"/>
    </w:pPr>
  </w:style>
  <w:style w:type="character" w:styleId="980" w:customStyle="1">
    <w:name w:val="批注文字 Char"/>
    <w:basedOn w:val="963"/>
    <w:link w:val="979"/>
    <w:uiPriority w:val="99"/>
    <w:semiHidden/>
    <w:qFormat/>
  </w:style>
  <w:style w:type="paragraph" w:styleId="981" w:customStyle="1">
    <w:name w:val="正文文本 31"/>
    <w:basedOn w:val="724"/>
    <w:link w:val="982"/>
    <w:uiPriority w:val="0"/>
    <w:qFormat/>
    <w:rPr>
      <w:rFonts w:ascii="仿宋_GB2312" w:hAnsi="Arial" w:eastAsia="仿宋_GB2312"/>
      <w:sz w:val="32"/>
      <w:szCs w:val="32"/>
    </w:rPr>
  </w:style>
  <w:style w:type="character" w:styleId="982" w:customStyle="1">
    <w:name w:val="正文文本 3 Char"/>
    <w:link w:val="981"/>
    <w:uiPriority w:val="0"/>
    <w:qFormat/>
    <w:rPr>
      <w:rFonts w:ascii="仿宋_GB2312" w:hAnsi="Arial" w:eastAsia="仿宋_GB2312" w:cs="Times New Roman"/>
      <w:sz w:val="32"/>
      <w:szCs w:val="32"/>
    </w:rPr>
  </w:style>
  <w:style w:type="paragraph" w:styleId="983" w:customStyle="1">
    <w:name w:val="正文文本1"/>
    <w:basedOn w:val="724"/>
    <w:link w:val="984"/>
    <w:uiPriority w:val="0"/>
    <w:qFormat/>
    <w:rPr>
      <w:rFonts w:ascii="楷体_GB2312" w:hAnsi="Arial" w:eastAsia="楷体_GB2312"/>
      <w:sz w:val="28"/>
      <w:szCs w:val="28"/>
    </w:rPr>
  </w:style>
  <w:style w:type="character" w:styleId="984" w:customStyle="1">
    <w:name w:val="正文文本 Char"/>
    <w:link w:val="983"/>
    <w:uiPriority w:val="0"/>
    <w:qFormat/>
    <w:rPr>
      <w:rFonts w:ascii="楷体_GB2312" w:hAnsi="Arial" w:eastAsia="楷体_GB2312" w:cs="Times New Roman"/>
      <w:sz w:val="28"/>
      <w:szCs w:val="28"/>
    </w:rPr>
  </w:style>
  <w:style w:type="paragraph" w:styleId="985" w:customStyle="1">
    <w:name w:val="正文文本缩进1"/>
    <w:basedOn w:val="724"/>
    <w:link w:val="986"/>
    <w:uiPriority w:val="0"/>
    <w:unhideWhenUsed/>
    <w:qFormat/>
    <w:pPr>
      <w:ind w:left="420"/>
      <w:spacing w:after="120"/>
    </w:pPr>
  </w:style>
  <w:style w:type="character" w:styleId="986" w:customStyle="1">
    <w:name w:val="正文文本缩进 Char"/>
    <w:basedOn w:val="963"/>
    <w:link w:val="985"/>
    <w:uiPriority w:val="99"/>
    <w:semiHidden/>
    <w:qFormat/>
  </w:style>
  <w:style w:type="paragraph" w:styleId="987" w:customStyle="1">
    <w:name w:val="列表 21"/>
    <w:basedOn w:val="724"/>
    <w:uiPriority w:val="0"/>
    <w:qFormat/>
    <w:pPr>
      <w:ind w:left="100" w:hanging="200"/>
    </w:pPr>
    <w:rPr>
      <w:szCs w:val="21"/>
    </w:rPr>
  </w:style>
  <w:style w:type="paragraph" w:styleId="988" w:customStyle="1">
    <w:name w:val="目录 51"/>
    <w:basedOn w:val="724"/>
    <w:next w:val="724"/>
    <w:uiPriority w:val="0"/>
    <w:semiHidden/>
    <w:qFormat/>
    <w:pPr>
      <w:ind w:left="840"/>
      <w:jc w:val="left"/>
    </w:pPr>
    <w:rPr>
      <w:szCs w:val="21"/>
    </w:rPr>
  </w:style>
  <w:style w:type="paragraph" w:styleId="989" w:customStyle="1">
    <w:name w:val="目录 31"/>
    <w:basedOn w:val="724"/>
    <w:next w:val="724"/>
    <w:uiPriority w:val="0"/>
    <w:semiHidden/>
    <w:qFormat/>
    <w:pPr>
      <w:ind w:left="420"/>
      <w:jc w:val="left"/>
    </w:pPr>
    <w:rPr>
      <w:i/>
      <w:iCs/>
      <w:szCs w:val="24"/>
    </w:rPr>
  </w:style>
  <w:style w:type="paragraph" w:styleId="990" w:customStyle="1">
    <w:name w:val="纯文本1"/>
    <w:basedOn w:val="724"/>
    <w:link w:val="991"/>
    <w:uiPriority w:val="0"/>
    <w:qFormat/>
    <w:rPr>
      <w:rFonts w:ascii="宋体" w:hAnsi="Courier New" w:cs="Courier New"/>
      <w:szCs w:val="21"/>
    </w:rPr>
  </w:style>
  <w:style w:type="character" w:styleId="991" w:customStyle="1">
    <w:name w:val="纯文本 Char"/>
    <w:link w:val="990"/>
    <w:uiPriority w:val="0"/>
    <w:qFormat/>
    <w:rPr>
      <w:rFonts w:ascii="宋体" w:hAnsi="Courier New" w:eastAsia="宋体" w:cs="Courier New"/>
      <w:szCs w:val="21"/>
    </w:rPr>
  </w:style>
  <w:style w:type="paragraph" w:styleId="992" w:customStyle="1">
    <w:name w:val="目录 81"/>
    <w:basedOn w:val="724"/>
    <w:next w:val="724"/>
    <w:uiPriority w:val="0"/>
    <w:semiHidden/>
    <w:qFormat/>
    <w:pPr>
      <w:ind w:left="1470"/>
      <w:jc w:val="left"/>
    </w:pPr>
    <w:rPr>
      <w:szCs w:val="21"/>
    </w:rPr>
  </w:style>
  <w:style w:type="paragraph" w:styleId="993" w:customStyle="1">
    <w:name w:val="日期1"/>
    <w:basedOn w:val="724"/>
    <w:next w:val="724"/>
    <w:link w:val="994"/>
    <w:uiPriority w:val="0"/>
    <w:qFormat/>
    <w:rPr>
      <w:sz w:val="24"/>
      <w:szCs w:val="24"/>
    </w:rPr>
  </w:style>
  <w:style w:type="character" w:styleId="994" w:customStyle="1">
    <w:name w:val="日期 Char"/>
    <w:link w:val="993"/>
    <w:uiPriority w:val="0"/>
    <w:qFormat/>
    <w:rPr>
      <w:rFonts w:ascii="Times New Roman" w:hAnsi="Times New Roman" w:eastAsia="宋体" w:cs="Times New Roman"/>
      <w:sz w:val="24"/>
      <w:szCs w:val="24"/>
    </w:rPr>
  </w:style>
  <w:style w:type="paragraph" w:styleId="995" w:customStyle="1">
    <w:name w:val="正文文本缩进 21"/>
    <w:basedOn w:val="724"/>
    <w:link w:val="996"/>
    <w:uiPriority w:val="0"/>
    <w:qFormat/>
    <w:pPr>
      <w:ind w:left="630" w:firstLine="645"/>
    </w:pPr>
    <w:rPr>
      <w:rFonts w:ascii="Arial" w:hAnsi="Arial" w:eastAsia="仿宋_GB2312" w:cs="Arial"/>
      <w:sz w:val="32"/>
      <w:szCs w:val="32"/>
    </w:rPr>
  </w:style>
  <w:style w:type="character" w:styleId="996" w:customStyle="1">
    <w:name w:val="正文文本缩进 2 Char"/>
    <w:link w:val="995"/>
    <w:uiPriority w:val="0"/>
    <w:qFormat/>
    <w:rPr>
      <w:rFonts w:ascii="Arial" w:hAnsi="Arial" w:eastAsia="仿宋_GB2312" w:cs="Arial"/>
      <w:sz w:val="32"/>
      <w:szCs w:val="32"/>
    </w:rPr>
  </w:style>
  <w:style w:type="paragraph" w:styleId="997" w:customStyle="1">
    <w:name w:val="批注框文本1"/>
    <w:basedOn w:val="724"/>
    <w:link w:val="998"/>
    <w:uiPriority w:val="0"/>
    <w:semiHidden/>
    <w:qFormat/>
    <w:rPr>
      <w:sz w:val="18"/>
      <w:szCs w:val="18"/>
    </w:rPr>
  </w:style>
  <w:style w:type="character" w:styleId="998" w:customStyle="1">
    <w:name w:val="批注框文本 Char"/>
    <w:link w:val="997"/>
    <w:uiPriority w:val="0"/>
    <w:semiHidden/>
    <w:qFormat/>
    <w:rPr>
      <w:rFonts w:ascii="Times New Roman" w:hAnsi="Times New Roman" w:eastAsia="宋体" w:cs="Times New Roman"/>
      <w:sz w:val="18"/>
      <w:szCs w:val="18"/>
    </w:rPr>
  </w:style>
  <w:style w:type="paragraph" w:styleId="999" w:customStyle="1">
    <w:name w:val="页脚1"/>
    <w:basedOn w:val="724"/>
    <w:link w:val="1000"/>
    <w:uiPriority w:val="0"/>
    <w:qFormat/>
    <w:pPr>
      <w:jc w:val="left"/>
      <w:tabs>
        <w:tab w:val="center" w:pos="4153" w:leader="none"/>
        <w:tab w:val="right" w:pos="8306" w:leader="none"/>
      </w:tabs>
    </w:pPr>
    <w:rPr>
      <w:sz w:val="18"/>
      <w:szCs w:val="18"/>
    </w:rPr>
  </w:style>
  <w:style w:type="character" w:styleId="1000" w:customStyle="1">
    <w:name w:val="页脚 Char"/>
    <w:link w:val="999"/>
    <w:uiPriority w:val="0"/>
    <w:qFormat/>
    <w:rPr>
      <w:rFonts w:ascii="Times New Roman" w:hAnsi="Times New Roman" w:eastAsia="宋体" w:cs="Times New Roman"/>
      <w:sz w:val="18"/>
      <w:szCs w:val="18"/>
    </w:rPr>
  </w:style>
  <w:style w:type="paragraph" w:styleId="1001" w:customStyle="1">
    <w:name w:val="页眉1"/>
    <w:basedOn w:val="724"/>
    <w:link w:val="1002"/>
    <w:uiPriority w:val="0"/>
    <w:qFormat/>
    <w:pPr>
      <w:jc w:val="center"/>
      <w:tabs>
        <w:tab w:val="center" w:pos="4153" w:leader="none"/>
        <w:tab w:val="right" w:pos="8306" w:leader="none"/>
      </w:tabs>
      <w:pBdr>
        <w:bottom w:val="single" w:color="000000" w:sz="6" w:space="1"/>
      </w:pBdr>
    </w:pPr>
    <w:rPr>
      <w:sz w:val="18"/>
      <w:szCs w:val="18"/>
    </w:rPr>
  </w:style>
  <w:style w:type="character" w:styleId="1002" w:customStyle="1">
    <w:name w:val="页眉 Char"/>
    <w:link w:val="1001"/>
    <w:uiPriority w:val="0"/>
    <w:qFormat/>
    <w:rPr>
      <w:rFonts w:ascii="Times New Roman" w:hAnsi="Times New Roman" w:eastAsia="宋体" w:cs="Times New Roman"/>
      <w:sz w:val="18"/>
      <w:szCs w:val="18"/>
    </w:rPr>
  </w:style>
  <w:style w:type="paragraph" w:styleId="1003" w:customStyle="1">
    <w:name w:val="目录 11"/>
    <w:basedOn w:val="724"/>
    <w:next w:val="724"/>
    <w:uiPriority w:val="0"/>
    <w:semiHidden/>
    <w:qFormat/>
    <w:pPr>
      <w:jc w:val="left"/>
      <w:spacing w:before="120" w:after="120" w:line="400" w:lineRule="exact"/>
      <w:tabs>
        <w:tab w:val="right" w:pos="8720" w:leader="dot"/>
      </w:tabs>
    </w:pPr>
    <w:rPr>
      <w:rFonts w:ascii="宋体" w:hAnsi="宋体"/>
      <w:caps/>
      <w:sz w:val="24"/>
      <w:szCs w:val="24"/>
    </w:rPr>
  </w:style>
  <w:style w:type="paragraph" w:styleId="1004" w:customStyle="1">
    <w:name w:val="目录 41"/>
    <w:basedOn w:val="724"/>
    <w:next w:val="724"/>
    <w:uiPriority w:val="0"/>
    <w:semiHidden/>
    <w:qFormat/>
    <w:pPr>
      <w:ind w:left="630"/>
      <w:jc w:val="left"/>
    </w:pPr>
    <w:rPr>
      <w:szCs w:val="21"/>
    </w:rPr>
  </w:style>
  <w:style w:type="paragraph" w:styleId="1005" w:customStyle="1">
    <w:name w:val="列表1"/>
    <w:basedOn w:val="724"/>
    <w:uiPriority w:val="0"/>
    <w:qFormat/>
    <w:pPr>
      <w:ind w:left="200" w:hanging="200"/>
    </w:pPr>
    <w:rPr>
      <w:szCs w:val="21"/>
    </w:rPr>
  </w:style>
  <w:style w:type="paragraph" w:styleId="1006" w:customStyle="1">
    <w:name w:val="目录 61"/>
    <w:basedOn w:val="724"/>
    <w:next w:val="724"/>
    <w:uiPriority w:val="0"/>
    <w:semiHidden/>
    <w:qFormat/>
    <w:pPr>
      <w:ind w:left="1050"/>
      <w:jc w:val="left"/>
    </w:pPr>
    <w:rPr>
      <w:szCs w:val="21"/>
    </w:rPr>
  </w:style>
  <w:style w:type="paragraph" w:styleId="1007" w:customStyle="1">
    <w:name w:val="正文文本缩进 31"/>
    <w:basedOn w:val="724"/>
    <w:link w:val="1008"/>
    <w:uiPriority w:val="0"/>
    <w:qFormat/>
    <w:pPr>
      <w:ind w:left="645" w:firstLine="645"/>
    </w:pPr>
    <w:rPr>
      <w:rFonts w:ascii="Arial" w:hAnsi="Arial" w:eastAsia="仿宋_GB2312" w:cs="Arial"/>
      <w:color w:val="ffff00"/>
      <w:sz w:val="32"/>
      <w:szCs w:val="32"/>
    </w:rPr>
  </w:style>
  <w:style w:type="character" w:styleId="1008" w:customStyle="1">
    <w:name w:val="正文文本缩进 3 Char"/>
    <w:link w:val="1007"/>
    <w:uiPriority w:val="0"/>
    <w:qFormat/>
    <w:rPr>
      <w:rFonts w:ascii="Arial" w:hAnsi="Arial" w:eastAsia="仿宋_GB2312" w:cs="Arial"/>
      <w:color w:val="ffff00"/>
      <w:sz w:val="32"/>
      <w:szCs w:val="32"/>
    </w:rPr>
  </w:style>
  <w:style w:type="paragraph" w:styleId="1009" w:customStyle="1">
    <w:name w:val="图表目录1"/>
    <w:basedOn w:val="724"/>
    <w:next w:val="724"/>
    <w:uiPriority w:val="0"/>
    <w:semiHidden/>
    <w:qFormat/>
    <w:pPr>
      <w:ind w:left="840" w:hanging="420"/>
    </w:pPr>
    <w:rPr>
      <w:szCs w:val="21"/>
    </w:rPr>
  </w:style>
  <w:style w:type="paragraph" w:styleId="1010" w:customStyle="1">
    <w:name w:val="目录 21"/>
    <w:basedOn w:val="724"/>
    <w:next w:val="724"/>
    <w:uiPriority w:val="0"/>
    <w:semiHidden/>
    <w:qFormat/>
    <w:pPr>
      <w:ind w:left="210"/>
      <w:jc w:val="left"/>
    </w:pPr>
    <w:rPr>
      <w:smallCaps/>
      <w:szCs w:val="24"/>
    </w:rPr>
  </w:style>
  <w:style w:type="paragraph" w:styleId="1011" w:customStyle="1">
    <w:name w:val="目录 91"/>
    <w:basedOn w:val="724"/>
    <w:next w:val="724"/>
    <w:uiPriority w:val="0"/>
    <w:semiHidden/>
    <w:qFormat/>
    <w:pPr>
      <w:ind w:left="1680"/>
      <w:jc w:val="left"/>
    </w:pPr>
    <w:rPr>
      <w:szCs w:val="21"/>
    </w:rPr>
  </w:style>
  <w:style w:type="paragraph" w:styleId="1012" w:customStyle="1">
    <w:name w:val="正文文本 21"/>
    <w:basedOn w:val="724"/>
    <w:link w:val="1013"/>
    <w:uiPriority w:val="0"/>
    <w:qFormat/>
    <w:pPr>
      <w:jc w:val="center"/>
      <w:widowControl/>
    </w:pPr>
    <w:rPr>
      <w:rFonts w:ascii="楷体_GB2312" w:eastAsia="楷体_GB2312"/>
      <w:sz w:val="28"/>
      <w:szCs w:val="28"/>
    </w:rPr>
  </w:style>
  <w:style w:type="character" w:styleId="1013" w:customStyle="1">
    <w:name w:val="正文文本 2 Char"/>
    <w:link w:val="1012"/>
    <w:uiPriority w:val="0"/>
    <w:qFormat/>
    <w:rPr>
      <w:rFonts w:ascii="楷体_GB2312" w:hAnsi="Times New Roman" w:eastAsia="楷体_GB2312" w:cs="Times New Roman"/>
      <w:sz w:val="28"/>
      <w:szCs w:val="28"/>
    </w:rPr>
  </w:style>
  <w:style w:type="paragraph" w:styleId="1014" w:customStyle="1">
    <w:name w:val="普通(网站)1"/>
    <w:basedOn w:val="724"/>
    <w:uiPriority w:val="99"/>
    <w:qFormat/>
    <w:pPr>
      <w:jc w:val="left"/>
      <w:spacing w:before="100" w:beforeAutospacing="1" w:after="100" w:afterAutospacing="1"/>
      <w:widowControl/>
    </w:pPr>
    <w:rPr>
      <w:rFonts w:ascii="宋体" w:hAnsi="宋体" w:cs="宋体"/>
      <w:sz w:val="24"/>
      <w:szCs w:val="24"/>
    </w:rPr>
  </w:style>
  <w:style w:type="paragraph" w:styleId="1015" w:customStyle="1">
    <w:name w:val="索引 11"/>
    <w:basedOn w:val="724"/>
    <w:next w:val="724"/>
    <w:uiPriority w:val="0"/>
    <w:semiHidden/>
    <w:qFormat/>
    <w:pPr>
      <w:spacing w:line="240" w:lineRule="atLeast"/>
    </w:pPr>
    <w:rPr>
      <w:b/>
      <w:bCs/>
      <w:szCs w:val="21"/>
    </w:rPr>
  </w:style>
  <w:style w:type="paragraph" w:styleId="1016" w:customStyle="1">
    <w:name w:val="批注主题1"/>
    <w:basedOn w:val="979"/>
    <w:next w:val="979"/>
    <w:link w:val="1017"/>
    <w:uiPriority w:val="0"/>
    <w:semiHidden/>
    <w:qFormat/>
    <w:rPr>
      <w:b/>
      <w:bCs/>
      <w:szCs w:val="21"/>
    </w:rPr>
  </w:style>
  <w:style w:type="character" w:styleId="1017" w:customStyle="1">
    <w:name w:val="批注主题 Char"/>
    <w:link w:val="1016"/>
    <w:uiPriority w:val="0"/>
    <w:semiHidden/>
    <w:qFormat/>
    <w:rPr>
      <w:rFonts w:ascii="Times New Roman" w:hAnsi="Times New Roman" w:eastAsia="宋体" w:cs="Times New Roman"/>
      <w:b/>
      <w:bCs/>
      <w:szCs w:val="21"/>
    </w:rPr>
  </w:style>
  <w:style w:type="paragraph" w:styleId="1018" w:customStyle="1">
    <w:name w:val="正文首行缩进11"/>
    <w:basedOn w:val="724"/>
    <w:link w:val="1019"/>
    <w:uiPriority w:val="0"/>
    <w:qFormat/>
    <w:pPr>
      <w:ind w:firstLine="200"/>
      <w:spacing w:line="360" w:lineRule="auto"/>
    </w:pPr>
    <w:rPr>
      <w:rFonts w:ascii="仿宋_GB2312" w:eastAsia="仿宋_GB2312"/>
      <w:sz w:val="30"/>
      <w:szCs w:val="30"/>
    </w:rPr>
  </w:style>
  <w:style w:type="character" w:styleId="1019" w:customStyle="1">
    <w:name w:val="正文首行缩进 Char"/>
    <w:link w:val="1018"/>
    <w:uiPriority w:val="0"/>
    <w:qFormat/>
    <w:rPr>
      <w:rFonts w:ascii="仿宋_GB2312" w:hAnsi="Times New Roman" w:eastAsia="仿宋_GB2312" w:cs="Times New Roman"/>
      <w:sz w:val="30"/>
      <w:szCs w:val="30"/>
    </w:rPr>
  </w:style>
  <w:style w:type="paragraph" w:styleId="1020" w:customStyle="1">
    <w:name w:val="正文首行缩进 21"/>
    <w:basedOn w:val="985"/>
    <w:link w:val="1021"/>
    <w:uiPriority w:val="0"/>
    <w:qFormat/>
    <w:pPr>
      <w:ind w:left="0" w:firstLine="420"/>
      <w:spacing w:after="0" w:line="360" w:lineRule="auto"/>
    </w:pPr>
    <w:rPr>
      <w:rFonts w:ascii="宋体" w:hAnsi="宋体"/>
      <w:szCs w:val="20"/>
    </w:rPr>
  </w:style>
  <w:style w:type="character" w:styleId="1021" w:customStyle="1">
    <w:name w:val="正文首行缩进 2 Char"/>
    <w:link w:val="1020"/>
    <w:uiPriority w:val="0"/>
    <w:qFormat/>
    <w:rPr>
      <w:rFonts w:ascii="宋体" w:hAnsi="宋体" w:eastAsia="宋体" w:cs="Times New Roman"/>
      <w:szCs w:val="20"/>
    </w:rPr>
  </w:style>
  <w:style w:type="table" w:styleId="1022" w:customStyle="1">
    <w:name w:val="网格型1"/>
    <w:basedOn w:val="964"/>
    <w:uiPriority w:val="0"/>
    <w:qFormat/>
    <w:pPr>
      <w:jc w:val="both"/>
      <w:widowControl w:val="off"/>
    </w:pPr>
    <w:tblPr/>
  </w:style>
  <w:style w:type="character" w:styleId="1023" w:customStyle="1">
    <w:name w:val="要点1"/>
    <w:uiPriority w:val="0"/>
    <w:qFormat/>
    <w:rPr>
      <w:b/>
      <w:bCs/>
    </w:rPr>
  </w:style>
  <w:style w:type="character" w:styleId="1024" w:customStyle="1">
    <w:name w:val="页码1"/>
    <w:uiPriority w:val="0"/>
    <w:qFormat/>
  </w:style>
  <w:style w:type="character" w:styleId="1025" w:customStyle="1">
    <w:name w:val="已访问的超链接1"/>
    <w:uiPriority w:val="0"/>
    <w:qFormat/>
    <w:rPr>
      <w:color w:val="800080"/>
      <w:u w:val="single"/>
    </w:rPr>
  </w:style>
  <w:style w:type="character" w:styleId="1026" w:customStyle="1">
    <w:name w:val="超链接1"/>
    <w:uiPriority w:val="0"/>
    <w:qFormat/>
    <w:rPr>
      <w:color w:val="0000ff"/>
      <w:u w:val="single"/>
    </w:rPr>
  </w:style>
  <w:style w:type="character" w:styleId="1027" w:customStyle="1">
    <w:name w:val="批注引用1"/>
    <w:uiPriority w:val="0"/>
    <w:semiHidden/>
    <w:qFormat/>
    <w:rPr>
      <w:sz w:val="21"/>
      <w:szCs w:val="21"/>
    </w:rPr>
  </w:style>
  <w:style w:type="paragraph" w:styleId="1028" w:customStyle="1">
    <w:name w:val="Heading21"/>
    <w:basedOn w:val="1029"/>
    <w:next w:val="724"/>
    <w:uiPriority w:val="0"/>
    <w:qFormat/>
    <w:pPr>
      <w:jc w:val="both"/>
      <w:keepLines/>
      <w:keepNext/>
      <w:spacing w:before="260" w:after="260" w:line="413" w:lineRule="auto"/>
      <w:widowControl w:val="off"/>
    </w:pPr>
    <w:rPr>
      <w:rFonts w:ascii="Arial" w:hAnsi="Arial" w:eastAsia="黑体"/>
      <w:b/>
      <w:sz w:val="32"/>
    </w:rPr>
  </w:style>
  <w:style w:type="paragraph" w:styleId="1029" w:customStyle="1">
    <w:name w:val="Normal_16"/>
    <w:next w:val="1030"/>
    <w:uiPriority w:val="0"/>
    <w:qFormat/>
    <w:rPr>
      <w:rFonts w:hint="default" w:ascii="Times New Roman" w:hAnsi="Times New Roman" w:eastAsia="Times New Roman" w:cs="Times New Roman"/>
      <w:sz w:val="24"/>
      <w:szCs w:val="24"/>
      <w:lang w:val="en-US" w:eastAsia="zh-CN" w:bidi="ar-SA"/>
    </w:rPr>
  </w:style>
  <w:style w:type="paragraph" w:styleId="1030" w:customStyle="1">
    <w:name w:val="正文首行缩进1"/>
    <w:basedOn w:val="1029"/>
    <w:uiPriority w:val="0"/>
    <w:qFormat/>
    <w:pPr>
      <w:ind w:firstLine="200"/>
      <w:spacing w:line="360" w:lineRule="auto"/>
    </w:pPr>
    <w:rPr>
      <w:rFonts w:ascii="仿宋_GB2312" w:eastAsia="仿宋_GB2312"/>
      <w:sz w:val="30"/>
      <w:szCs w:val="30"/>
    </w:rPr>
  </w:style>
  <w:style w:type="character" w:styleId="1031" w:customStyle="1">
    <w:name w:val="font5 Char"/>
    <w:uiPriority w:val="0"/>
    <w:qFormat/>
    <w:rPr>
      <w:rFonts w:ascii="宋体" w:hAnsi="宋体" w:eastAsia="宋体"/>
      <w:sz w:val="28"/>
      <w:szCs w:val="28"/>
      <w:lang w:val="en-US" w:eastAsia="zh-CN" w:bidi="ar-SA"/>
    </w:rPr>
  </w:style>
  <w:style w:type="character" w:styleId="1032" w:customStyle="1">
    <w:name w:val="二级目录 Char"/>
    <w:link w:val="1033"/>
    <w:uiPriority w:val="0"/>
    <w:qFormat/>
    <w:rPr>
      <w:b/>
      <w:sz w:val="30"/>
      <w:szCs w:val="28"/>
    </w:rPr>
  </w:style>
  <w:style w:type="paragraph" w:styleId="1033" w:customStyle="1">
    <w:name w:val="二级目录"/>
    <w:next w:val="724"/>
    <w:link w:val="1032"/>
    <w:uiPriority w:val="0"/>
    <w:qFormat/>
    <w:pPr>
      <w:ind w:left="907" w:hanging="907"/>
      <w:tabs>
        <w:tab w:val="left" w:pos="907" w:leader="none"/>
        <w:tab w:val="left" w:pos="1145" w:leader="none"/>
      </w:tabs>
      <w:outlineLvl w:val="1"/>
    </w:pPr>
    <w:rPr>
      <w:rFonts w:hint="default" w:ascii="Times New Roman" w:hAnsi="Times New Roman" w:eastAsia="宋体" w:cs="Times New Roman"/>
      <w:b/>
      <w:sz w:val="30"/>
      <w:szCs w:val="28"/>
      <w:lang w:val="en-US" w:eastAsia="zh-CN" w:bidi="ar-SA"/>
    </w:rPr>
  </w:style>
  <w:style w:type="character" w:styleId="1034" w:customStyle="1">
    <w:name w:val="列出段落 Char"/>
    <w:link w:val="1035"/>
    <w:uiPriority w:val="0"/>
    <w:qFormat/>
    <w:rPr>
      <w:rFonts w:ascii="Calibri" w:hAnsi="Calibri"/>
      <w:sz w:val="24"/>
      <w:szCs w:val="24"/>
      <w:lang w:eastAsia="en-US" w:bidi="en-US"/>
    </w:rPr>
  </w:style>
  <w:style w:type="paragraph" w:styleId="1035" w:customStyle="1">
    <w:name w:val="列出段落1"/>
    <w:basedOn w:val="724"/>
    <w:link w:val="1034"/>
    <w:uiPriority w:val="0"/>
    <w:qFormat/>
    <w:pPr>
      <w:contextualSpacing/>
      <w:ind w:left="720"/>
      <w:jc w:val="left"/>
      <w:widowControl/>
    </w:pPr>
    <w:rPr>
      <w:rFonts w:ascii="Calibri" w:hAnsi="Calibri"/>
      <w:sz w:val="24"/>
      <w:szCs w:val="24"/>
      <w:lang w:eastAsia="en-US" w:bidi="en-US"/>
    </w:rPr>
  </w:style>
  <w:style w:type="paragraph" w:styleId="1036" w:customStyle="1">
    <w:name w:val="Body Text(ch)"/>
    <w:basedOn w:val="724"/>
    <w:next w:val="983"/>
    <w:uiPriority w:val="0"/>
    <w:qFormat/>
    <w:pPr>
      <w:spacing w:after="120"/>
    </w:pPr>
    <w:rPr>
      <w:rFonts w:ascii="宋体" w:hAnsi="Arial"/>
      <w:bCs/>
      <w:iCs/>
      <w:szCs w:val="24"/>
    </w:rPr>
  </w:style>
  <w:style w:type="paragraph" w:styleId="1037" w:customStyle="1">
    <w:name w:val="xl27"/>
    <w:basedOn w:val="724"/>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38" w:customStyle="1">
    <w:name w:val="xl26"/>
    <w:basedOn w:val="72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039" w:customStyle="1">
    <w:name w:val="Char"/>
    <w:basedOn w:val="724"/>
    <w:uiPriority w:val="0"/>
    <w:qFormat/>
    <w:pPr>
      <w:ind w:firstLine="200"/>
      <w:tabs>
        <w:tab w:val="left" w:pos="360" w:leader="none"/>
      </w:tabs>
    </w:pPr>
    <w:rPr>
      <w:sz w:val="28"/>
      <w:szCs w:val="30"/>
    </w:rPr>
  </w:style>
  <w:style w:type="paragraph" w:styleId="1040" w:customStyle="1">
    <w:name w:val="Char1"/>
    <w:basedOn w:val="977"/>
    <w:uiPriority w:val="0"/>
    <w:qFormat/>
    <w:rPr>
      <w:rFonts w:ascii="Tahoma" w:hAnsi="Tahoma"/>
      <w:sz w:val="24"/>
      <w:szCs w:val="24"/>
    </w:rPr>
  </w:style>
  <w:style w:type="paragraph" w:styleId="1041" w:customStyle="1">
    <w:name w:val="普通正文"/>
    <w:basedOn w:val="724"/>
    <w:uiPriority w:val="0"/>
    <w:qFormat/>
    <w:pPr>
      <w:ind w:firstLine="480"/>
      <w:jc w:val="left"/>
      <w:spacing w:before="120" w:after="120" w:line="360" w:lineRule="auto"/>
    </w:pPr>
    <w:rPr>
      <w:rFonts w:ascii="Arial" w:hAnsi="Arial"/>
      <w:sz w:val="24"/>
      <w:szCs w:val="24"/>
    </w:rPr>
  </w:style>
  <w:style w:type="paragraph" w:styleId="1042" w:customStyle="1">
    <w:name w:val="table_lines"/>
    <w:basedOn w:val="724"/>
    <w:uiPriority w:val="0"/>
    <w:qFormat/>
    <w:pPr>
      <w:jc w:val="left"/>
      <w:widowControl/>
    </w:pPr>
    <w:rPr>
      <w:sz w:val="20"/>
      <w:szCs w:val="20"/>
      <w:lang w:val="de-DE" w:eastAsia="de-DE"/>
    </w:rPr>
  </w:style>
  <w:style w:type="paragraph" w:styleId="1043" w:customStyle="1">
    <w:name w:val="附录1"/>
    <w:uiPriority w:val="0"/>
    <w:qFormat/>
    <w:pPr>
      <w:numPr>
        <w:ilvl w:val="0"/>
        <w:numId w:val="2"/>
      </w:numPr>
      <w:spacing w:before="240" w:line="600" w:lineRule="atLeast"/>
    </w:pPr>
    <w:rPr>
      <w:rFonts w:hint="default" w:ascii="Times New Roman" w:hAnsi="Times New Roman" w:eastAsia="宋体" w:cs="Times New Roman"/>
      <w:b/>
      <w:i/>
      <w:sz w:val="28"/>
      <w:lang w:val="en-US" w:eastAsia="zh-CN" w:bidi="ar-SA"/>
    </w:rPr>
  </w:style>
  <w:style w:type="paragraph" w:styleId="1044" w:customStyle="1">
    <w:name w:val="font7"/>
    <w:basedOn w:val="724"/>
    <w:uiPriority w:val="0"/>
    <w:qFormat/>
    <w:pPr>
      <w:jc w:val="left"/>
      <w:spacing w:before="100" w:beforeAutospacing="1" w:after="100" w:afterAutospacing="1"/>
      <w:widowControl/>
    </w:pPr>
    <w:rPr>
      <w:rFonts w:hint="eastAsia" w:ascii="宋体" w:hAnsi="宋体"/>
      <w:sz w:val="18"/>
      <w:szCs w:val="18"/>
    </w:rPr>
  </w:style>
  <w:style w:type="paragraph" w:styleId="1045" w:customStyle="1">
    <w:name w:val="Char Char Char Char"/>
    <w:basedOn w:val="977"/>
    <w:uiPriority w:val="0"/>
    <w:qFormat/>
    <w:pPr>
      <w:spacing w:line="360" w:lineRule="auto"/>
    </w:pPr>
    <w:rPr>
      <w:rFonts w:ascii="Tahoma" w:hAnsi="Tahoma"/>
      <w:sz w:val="24"/>
      <w:szCs w:val="24"/>
    </w:rPr>
  </w:style>
  <w:style w:type="paragraph" w:styleId="1046" w:customStyle="1">
    <w:name w:val="列出段落"/>
    <w:basedOn w:val="724"/>
    <w:uiPriority w:val="0"/>
    <w:qFormat/>
    <w:pPr>
      <w:contextualSpacing/>
      <w:ind w:left="720"/>
      <w:jc w:val="left"/>
      <w:widowControl/>
    </w:pPr>
    <w:rPr>
      <w:rFonts w:ascii="Calibri" w:hAnsi="Calibri"/>
      <w:sz w:val="24"/>
      <w:szCs w:val="24"/>
      <w:lang w:eastAsia="en-US" w:bidi="en-US"/>
    </w:rPr>
  </w:style>
  <w:style w:type="paragraph" w:styleId="1047" w:customStyle="1">
    <w:name w:val="4"/>
    <w:basedOn w:val="724"/>
    <w:next w:val="1007"/>
    <w:uiPriority w:val="0"/>
    <w:qFormat/>
    <w:pPr>
      <w:ind w:firstLine="420"/>
      <w:spacing w:line="360" w:lineRule="auto"/>
    </w:pPr>
    <w:rPr>
      <w:color w:val="ff0000"/>
      <w:sz w:val="24"/>
      <w:szCs w:val="24"/>
    </w:rPr>
  </w:style>
  <w:style w:type="paragraph" w:styleId="1048" w:customStyle="1">
    <w:name w:val="普通 (Web)"/>
    <w:basedOn w:val="724"/>
    <w:uiPriority w:val="0"/>
    <w:qFormat/>
    <w:pPr>
      <w:jc w:val="left"/>
      <w:spacing w:before="100" w:beforeAutospacing="1" w:after="100" w:afterAutospacing="1"/>
      <w:widowControl/>
    </w:pPr>
    <w:rPr>
      <w:rFonts w:ascii="宋体" w:hAnsi="宋体"/>
      <w:sz w:val="24"/>
      <w:szCs w:val="24"/>
    </w:rPr>
  </w:style>
  <w:style w:type="paragraph" w:styleId="1049" w:customStyle="1">
    <w:name w:val="Char Char Char Char Char Char Char Char Char Char"/>
    <w:basedOn w:val="724"/>
    <w:uiPriority w:val="0"/>
    <w:qFormat/>
    <w:pPr>
      <w:spacing w:line="360" w:lineRule="auto"/>
    </w:pPr>
    <w:rPr>
      <w:sz w:val="24"/>
      <w:szCs w:val="20"/>
    </w:rPr>
  </w:style>
  <w:style w:type="paragraph" w:styleId="1050" w:customStyle="1">
    <w:name w:val="样式1"/>
    <w:basedOn w:val="724"/>
    <w:uiPriority w:val="0"/>
    <w:qFormat/>
    <w:pPr>
      <w:numPr>
        <w:ilvl w:val="0"/>
        <w:numId w:val="3"/>
      </w:numPr>
    </w:pPr>
    <w:rPr>
      <w:rFonts w:ascii="宋体" w:hAnsi="宋体"/>
      <w:szCs w:val="21"/>
    </w:rPr>
  </w:style>
  <w:style w:type="paragraph" w:styleId="1051" w:customStyle="1">
    <w:name w:val="font6"/>
    <w:basedOn w:val="724"/>
    <w:uiPriority w:val="0"/>
    <w:qFormat/>
    <w:pPr>
      <w:jc w:val="left"/>
      <w:spacing w:before="100" w:beforeAutospacing="1" w:after="100" w:afterAutospacing="1"/>
      <w:widowControl/>
    </w:pPr>
    <w:rPr>
      <w:rFonts w:hint="eastAsia" w:ascii="宋体" w:hAnsi="宋体"/>
      <w:sz w:val="28"/>
      <w:szCs w:val="28"/>
      <w:u w:val="single"/>
    </w:rPr>
  </w:style>
  <w:style w:type="paragraph" w:styleId="1052" w:customStyle="1">
    <w:name w:val="xl25"/>
    <w:basedOn w:val="724"/>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53" w:customStyle="1">
    <w:name w:val="图标"/>
    <w:basedOn w:val="724"/>
    <w:next w:val="724"/>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54" w:customStyle="1">
    <w:name w:val="标题3"/>
    <w:basedOn w:val="724"/>
    <w:next w:val="724"/>
    <w:uiPriority w:val="0"/>
    <w:qFormat/>
    <w:pPr>
      <w:ind w:firstLine="624"/>
      <w:spacing w:line="590" w:lineRule="atLeast"/>
    </w:pPr>
    <w:rPr>
      <w:rFonts w:ascii="方正黑体_GBK" w:eastAsia="方正黑体_GBK"/>
      <w:sz w:val="32"/>
      <w:szCs w:val="32"/>
    </w:rPr>
  </w:style>
  <w:style w:type="paragraph" w:styleId="1055" w:customStyle="1">
    <w:name w:val="xl24"/>
    <w:basedOn w:val="724"/>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56" w:customStyle="1">
    <w:name w:val="xl29"/>
    <w:basedOn w:val="724"/>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57" w:customStyle="1">
    <w:name w:val="Char Char Char Char Char Char Char Char"/>
    <w:basedOn w:val="724"/>
    <w:uiPriority w:val="0"/>
    <w:qFormat/>
    <w:pPr>
      <w:jc w:val="left"/>
      <w:spacing w:after="160" w:line="240" w:lineRule="exact"/>
      <w:widowControl/>
    </w:pPr>
    <w:rPr>
      <w:rFonts w:ascii="Verdana" w:hAnsi="Verdana"/>
      <w:sz w:val="20"/>
      <w:szCs w:val="20"/>
      <w:lang w:eastAsia="en-US"/>
    </w:rPr>
  </w:style>
  <w:style w:type="paragraph" w:styleId="1058" w:customStyle="1">
    <w:name w:val="xl28"/>
    <w:basedOn w:val="724"/>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59" w:customStyle="1">
    <w:name w:val="Char Char Char Char Char Char Char Char1"/>
    <w:basedOn w:val="724"/>
    <w:uiPriority w:val="0"/>
    <w:qFormat/>
    <w:pPr>
      <w:jc w:val="left"/>
      <w:spacing w:after="160" w:line="240" w:lineRule="exact"/>
      <w:widowControl/>
    </w:pPr>
    <w:rPr>
      <w:rFonts w:ascii="Verdana" w:hAnsi="Verdana"/>
      <w:sz w:val="20"/>
      <w:szCs w:val="20"/>
      <w:lang w:eastAsia="en-US"/>
    </w:rPr>
  </w:style>
  <w:style w:type="paragraph" w:styleId="1060" w:customStyle="1">
    <w:name w:val="xl30"/>
    <w:basedOn w:val="724"/>
    <w:uiPriority w:val="0"/>
    <w:qFormat/>
    <w:pPr>
      <w:jc w:val="center"/>
      <w:spacing w:before="100" w:beforeAutospacing="1" w:after="100" w:afterAutospacing="1"/>
      <w:widowControl/>
    </w:pPr>
    <w:rPr>
      <w:rFonts w:ascii="宋体" w:hAnsi="宋体"/>
      <w:b/>
      <w:bCs/>
      <w:sz w:val="36"/>
      <w:szCs w:val="36"/>
    </w:rPr>
  </w:style>
  <w:style w:type="paragraph" w:styleId="1061" w:customStyle="1">
    <w:name w:val="Char Char Char Char1"/>
    <w:basedOn w:val="977"/>
    <w:uiPriority w:val="0"/>
    <w:qFormat/>
    <w:pPr>
      <w:spacing w:line="360" w:lineRule="auto"/>
    </w:pPr>
    <w:rPr>
      <w:rFonts w:ascii="Tahoma" w:hAnsi="Tahoma"/>
      <w:sz w:val="24"/>
      <w:szCs w:val="24"/>
    </w:rPr>
  </w:style>
  <w:style w:type="paragraph" w:styleId="1062" w:customStyle="1">
    <w:name w:val="table_1stline"/>
    <w:basedOn w:val="724"/>
    <w:uiPriority w:val="0"/>
    <w:qFormat/>
    <w:pPr>
      <w:jc w:val="left"/>
      <w:spacing w:before="120"/>
      <w:widowControl/>
    </w:pPr>
    <w:rPr>
      <w:bCs/>
      <w:sz w:val="20"/>
      <w:szCs w:val="20"/>
      <w:lang w:val="de-DE" w:eastAsia="de-DE"/>
    </w:rPr>
  </w:style>
  <w:style w:type="paragraph" w:styleId="1063" w:customStyle="1">
    <w:name w:val="font5"/>
    <w:basedOn w:val="724"/>
    <w:uiPriority w:val="0"/>
    <w:qFormat/>
    <w:pPr>
      <w:jc w:val="left"/>
      <w:spacing w:before="100" w:beforeAutospacing="1" w:after="100" w:afterAutospacing="1"/>
      <w:widowControl/>
    </w:pPr>
    <w:rPr>
      <w:rFonts w:hint="eastAsia" w:ascii="宋体" w:hAnsi="宋体"/>
      <w:sz w:val="28"/>
      <w:szCs w:val="28"/>
    </w:rPr>
  </w:style>
  <w:style w:type="paragraph" w:styleId="1064" w:customStyle="1">
    <w:name w:val="标题1"/>
    <w:basedOn w:val="724"/>
    <w:next w:val="724"/>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065" w:customStyle="1">
    <w:name w:val="修订1"/>
    <w:uiPriority w:val="99"/>
    <w:semiHidden/>
    <w:qFormat/>
    <w:rPr>
      <w:rFonts w:hint="default" w:ascii="Times New Roman" w:hAnsi="Times New Roman" w:eastAsia="宋体" w:cs="Times New Roman"/>
      <w:sz w:val="21"/>
      <w:szCs w:val="21"/>
      <w:lang w:val="en-US" w:eastAsia="zh-CN" w:bidi="ar-SA"/>
    </w:rPr>
  </w:style>
  <w:style w:type="paragraph" w:styleId="1066" w:customStyle="1">
    <w:name w:val="无间隔1"/>
    <w:uiPriority w:val="99"/>
    <w:qFormat/>
    <w:pPr>
      <w:jc w:val="both"/>
      <w:widowControl w:val="off"/>
    </w:pPr>
    <w:rPr>
      <w:rFonts w:hint="default" w:ascii="Times New Roman" w:hAnsi="Times New Roman" w:eastAsia="宋体" w:cs="Times New Roman"/>
      <w:sz w:val="21"/>
      <w:szCs w:val="21"/>
      <w:lang w:val="en-US" w:eastAsia="zh-CN" w:bidi="ar-SA"/>
    </w:rPr>
  </w:style>
  <w:style w:type="paragraph" w:styleId="1067" w:customStyle="1">
    <w:name w:val="标题 21"/>
    <w:basedOn w:val="724"/>
    <w:next w:val="724"/>
    <w:link w:val="1068"/>
    <w:uiPriority w:val="0"/>
    <w:qFormat/>
    <w:pPr>
      <w:keepLines/>
      <w:keepNext/>
      <w:spacing w:before="260" w:after="260" w:line="413" w:lineRule="auto"/>
      <w:outlineLvl w:val="1"/>
    </w:pPr>
    <w:rPr>
      <w:rFonts w:ascii="Arial" w:hAnsi="Arial" w:eastAsia="黑体"/>
      <w:b/>
      <w:sz w:val="32"/>
      <w:szCs w:val="20"/>
    </w:rPr>
  </w:style>
  <w:style w:type="character" w:styleId="1068" w:customStyle="1">
    <w:name w:val="标题 2 字符"/>
    <w:link w:val="1067"/>
    <w:uiPriority w:val="0"/>
    <w:qFormat/>
    <w:rPr>
      <w:rFonts w:ascii="Arial" w:hAnsi="Arial" w:eastAsia="黑体"/>
      <w:b/>
      <w:sz w:val="32"/>
    </w:rPr>
  </w:style>
  <w:style w:type="paragraph" w:styleId="1069" w:customStyle="1">
    <w:name w:val="批注文字1"/>
    <w:basedOn w:val="724"/>
    <w:link w:val="1070"/>
    <w:uiPriority w:val="99"/>
    <w:qFormat/>
    <w:pPr>
      <w:jc w:val="left"/>
    </w:pPr>
    <w:rPr>
      <w:szCs w:val="20"/>
    </w:rPr>
  </w:style>
  <w:style w:type="character" w:styleId="1070" w:customStyle="1">
    <w:name w:val="批注文字 字符"/>
    <w:link w:val="1069"/>
    <w:uiPriority w:val="99"/>
    <w:qFormat/>
    <w:rPr>
      <w:sz w:val="21"/>
    </w:rPr>
  </w:style>
  <w:style w:type="paragraph" w:styleId="1071" w:customStyle="1">
    <w:name w:val="Normal_0_1"/>
    <w:uiPriority w:val="0"/>
    <w:qFormat/>
    <w:rPr>
      <w:rFonts w:hint="default" w:ascii="黑体" w:hAnsi="黑体" w:eastAsia="黑体" w:cs="Times New Roman"/>
      <w:b/>
      <w:sz w:val="32"/>
      <w:szCs w:val="24"/>
      <w:lang w:val="en-US" w:eastAsia="zh-CN" w:bidi="ar-SA"/>
    </w:rPr>
  </w:style>
  <w:style w:type="paragraph" w:styleId="1072" w:customStyle="1">
    <w:name w:val="Normal_1_1"/>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073" w:customStyle="1">
    <w:name w:val="正文_16"/>
    <w:next w:val="1074"/>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074" w:customStyle="1">
    <w:name w:val="正文文本_0"/>
    <w:basedOn w:val="1073"/>
    <w:next w:val="1073"/>
    <w:uiPriority w:val="0"/>
    <w:qFormat/>
    <w:pPr>
      <w:spacing w:line="60" w:lineRule="auto"/>
    </w:pPr>
    <w:rPr>
      <w:rFonts w:ascii="仿宋_GB2312" w:eastAsia="仿宋_GB2312"/>
      <w:sz w:val="32"/>
    </w:rPr>
  </w:style>
  <w:style w:type="paragraph" w:styleId="1075" w:customStyle="1">
    <w:name w:val="列表接续 2_1"/>
    <w:basedOn w:val="1073"/>
    <w:next w:val="1076"/>
    <w:uiPriority w:val="0"/>
    <w:qFormat/>
    <w:pPr>
      <w:ind w:left="840"/>
      <w:spacing w:after="120"/>
    </w:pPr>
  </w:style>
  <w:style w:type="paragraph" w:styleId="1076" w:customStyle="1">
    <w:name w:val="目录 4_1"/>
    <w:basedOn w:val="1073"/>
    <w:next w:val="1073"/>
    <w:uiPriority w:val="0"/>
    <w:qFormat/>
    <w:pPr>
      <w:ind w:left="630"/>
      <w:jc w:val="left"/>
    </w:pPr>
    <w:rPr>
      <w:rFonts w:ascii="Calibri" w:hAnsi="Calibri" w:cs="Calibri"/>
      <w:sz w:val="18"/>
      <w:szCs w:val="18"/>
    </w:rPr>
  </w:style>
  <w:style w:type="paragraph" w:styleId="1077" w:customStyle="1">
    <w:name w:val="正文空2字"/>
    <w:basedOn w:val="724"/>
    <w:uiPriority w:val="99"/>
    <w:qFormat/>
    <w:pPr>
      <w:ind w:firstLine="640"/>
      <w:jc w:val="left"/>
      <w:spacing w:line="560" w:lineRule="exact"/>
    </w:pPr>
    <w:rPr>
      <w:rFonts w:ascii="仿宋_GB2312" w:hAnsi="仿宋_GB2312" w:eastAsia="仿宋_GB2312" w:cs="仿宋_GB2312"/>
      <w:sz w:val="32"/>
      <w:szCs w:val="32"/>
      <w:lang w:val="zh-TW"/>
    </w:rPr>
  </w:style>
  <w:style w:type="character" w:styleId="1078" w:customStyle="1">
    <w:name w:val="标题 4 字符"/>
    <w:uiPriority w:val="0"/>
    <w:qFormat/>
    <w:rPr>
      <w:rFonts w:ascii="Arial" w:hAnsi="Arial" w:eastAsia="黑体" w:cs="Arial"/>
      <w:b/>
      <w:bCs/>
      <w:sz w:val="28"/>
      <w:szCs w:val="28"/>
    </w:rPr>
  </w:style>
  <w:style w:type="paragraph" w:styleId="1079" w:customStyle="1">
    <w:name w:val="Normal_20"/>
    <w:next w:val="1080"/>
    <w:uiPriority w:val="0"/>
    <w:qFormat/>
    <w:rPr>
      <w:rFonts w:hint="default" w:ascii="黑体" w:hAnsi="黑体" w:eastAsia="黑体" w:cs="黑体"/>
      <w:b/>
      <w:sz w:val="32"/>
      <w:szCs w:val="24"/>
      <w:lang w:val="en-US" w:eastAsia="zh-CN" w:bidi="ar-SA"/>
    </w:rPr>
  </w:style>
  <w:style w:type="paragraph" w:styleId="1080" w:customStyle="1">
    <w:name w:val="Body Text_0"/>
    <w:basedOn w:val="1079"/>
    <w:next w:val="1079"/>
    <w:uiPriority w:val="0"/>
    <w:qFormat/>
    <w:pPr>
      <w:spacing w:line="60" w:lineRule="auto"/>
    </w:pPr>
    <w:rPr>
      <w:rFonts w:ascii="仿宋_GB2312" w:eastAsia="仿宋_GB2312"/>
      <w:sz w:val="32"/>
    </w:rPr>
  </w:style>
  <w:style w:type="paragraph" w:styleId="1081" w:customStyle="1">
    <w:name w:val="正文_15_0"/>
    <w:uiPriority w:val="0"/>
    <w:qFormat/>
    <w:pPr>
      <w:jc w:val="both"/>
      <w:widowControl w:val="off"/>
    </w:pPr>
    <w:rPr>
      <w:rFonts w:hint="default" w:ascii="Calibri" w:hAnsi="Calibri" w:eastAsia="宋体" w:cs="Times New Roman"/>
      <w:sz w:val="21"/>
      <w:szCs w:val="22"/>
      <w:lang w:val="en-US" w:eastAsia="zh-CN" w:bidi="ar-SA"/>
    </w:rPr>
  </w:style>
  <w:style w:type="paragraph" w:styleId="1082" w:customStyle="1">
    <w:name w:val="Normal_18_0"/>
    <w:uiPriority w:val="0"/>
    <w:qFormat/>
    <w:rPr>
      <w:rFonts w:hint="default" w:ascii="黑体" w:hAnsi="黑体" w:eastAsia="黑体" w:cs="黑体"/>
      <w:b/>
      <w:sz w:val="32"/>
      <w:szCs w:val="24"/>
      <w:lang w:val="en-US" w:eastAsia="zh-CN" w:bidi="ar-SA"/>
    </w:rPr>
  </w:style>
  <w:style w:type="paragraph" w:styleId="1083" w:customStyle="1">
    <w:name w:val="正文_12_0_0_0_0"/>
    <w:basedOn w:val="724"/>
    <w:uiPriority w:val="0"/>
    <w:qFormat/>
    <w:rPr>
      <w:szCs w:val="24"/>
    </w:rPr>
  </w:style>
  <w:style w:type="paragraph" w:styleId="1084" w:customStyle="1">
    <w:name w:val="正文_12_0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85" w:customStyle="1">
    <w:name w:val="正文_14_0"/>
    <w:uiPriority w:val="0"/>
    <w:qFormat/>
    <w:pPr>
      <w:jc w:val="both"/>
      <w:widowControl w:val="off"/>
    </w:pPr>
    <w:rPr>
      <w:rFonts w:hint="default" w:ascii="Calibri" w:hAnsi="Calibri" w:eastAsia="宋体" w:cs="Times New Roman"/>
      <w:sz w:val="21"/>
      <w:szCs w:val="22"/>
      <w:lang w:val="en-US" w:eastAsia="zh-CN" w:bidi="ar-SA"/>
    </w:rPr>
  </w:style>
  <w:style w:type="paragraph" w:styleId="1086" w:customStyle="1">
    <w:name w:val="正文_14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87" w:customStyle="1">
    <w:name w:val="正文1_0"/>
    <w:uiPriority w:val="0"/>
    <w:qFormat/>
    <w:pPr>
      <w:jc w:val="both"/>
      <w:widowControl w:val="off"/>
    </w:pPr>
    <w:rPr>
      <w:rFonts w:hint="default" w:ascii="Times New Roman" w:hAnsi="Times New Roman" w:eastAsia="宋体" w:cs="Times New Roman"/>
      <w:szCs w:val="24"/>
      <w:lang w:val="en-US" w:eastAsia="zh-CN" w:bidi="ar-SA"/>
    </w:rPr>
  </w:style>
  <w:style w:type="paragraph" w:styleId="1088" w:customStyle="1">
    <w:name w:val="正文_16_0_0"/>
    <w:next w:val="1087"/>
    <w:uiPriority w:val="0"/>
    <w:qFormat/>
    <w:pPr>
      <w:jc w:val="both"/>
      <w:widowControl w:val="off"/>
    </w:pPr>
    <w:rPr>
      <w:rFonts w:hint="default" w:ascii="Calibri" w:hAnsi="Calibri" w:eastAsia="宋体" w:cs="Times New Roman"/>
      <w:sz w:val="21"/>
      <w:szCs w:val="22"/>
      <w:lang w:val="en-US" w:eastAsia="zh-CN" w:bidi="ar-SA"/>
    </w:rPr>
  </w:style>
  <w:style w:type="paragraph" w:styleId="1089" w:customStyle="1">
    <w:name w:val="Normal_3_0"/>
    <w:uiPriority w:val="0"/>
    <w:qFormat/>
    <w:rPr>
      <w:rFonts w:hint="default" w:ascii="黑体" w:hAnsi="黑体" w:eastAsia="黑体" w:cs="Times New Roman"/>
      <w:b/>
      <w:sz w:val="32"/>
      <w:szCs w:val="24"/>
      <w:lang w:val="en-US" w:eastAsia="zh-CN" w:bidi="ar-SA"/>
    </w:rPr>
  </w:style>
  <w:style w:type="paragraph" w:styleId="1090" w:customStyle="1">
    <w:name w:val="Normal_4_0"/>
    <w:uiPriority w:val="0"/>
    <w:qFormat/>
    <w:pPr>
      <w:jc w:val="both"/>
      <w:widowControl w:val="off"/>
    </w:pPr>
    <w:rPr>
      <w:rFonts w:hint="default" w:ascii="Calibri" w:hAnsi="Calibri" w:eastAsia="宋体" w:cs="Times New Roman"/>
      <w:sz w:val="21"/>
      <w:szCs w:val="22"/>
      <w:lang w:val="en-US" w:eastAsia="zh-CN" w:bidi="ar-SA"/>
    </w:rPr>
  </w:style>
  <w:style w:type="paragraph" w:styleId="1091" w:customStyle="1">
    <w:name w:val="WPSOffice手动目录 1"/>
    <w:uiPriority w:val="0"/>
    <w:qFormat/>
    <w:rPr>
      <w:rFonts w:hint="default" w:ascii="Times New Roman" w:hAnsi="Times New Roman" w:eastAsia="宋体" w:cs="Times New Roman"/>
      <w:lang w:val="en-US" w:eastAsia="zh-CN" w:bidi="ar-SA"/>
    </w:rPr>
  </w:style>
  <w:style w:type="paragraph" w:styleId="1092" w:customStyle="1">
    <w:name w:val="WPSOffice手动目录 2"/>
    <w:uiPriority w:val="0"/>
    <w:qFormat/>
    <w:rPr>
      <w:rFonts w:hint="default" w:ascii="Times New Roman" w:hAnsi="Times New Roman" w:eastAsia="宋体" w:cs="Times New Roman"/>
      <w:lang w:val="en-US" w:eastAsia="zh-CN" w:bidi="ar-SA"/>
    </w:rPr>
  </w:style>
  <w:style w:type="character" w:styleId="1093" w:customStyle="1">
    <w:name w:val="NormalCharacter1"/>
    <w:uiPriority w:val="0"/>
    <w:qFormat/>
  </w:style>
  <w:style w:type="paragraph" w:styleId="1094" w:customStyle="1">
    <w:name w:val="Default"/>
    <w:uiPriority w:val="0"/>
    <w:qFormat/>
    <w:pPr>
      <w:widowControl w:val="off"/>
    </w:pPr>
    <w:rPr>
      <w:rFonts w:hint="default" w:ascii="宋体" w:hAnsi="Times New Roman" w:eastAsia="宋体" w:cs="宋体"/>
      <w:color w:val="000000"/>
      <w:sz w:val="24"/>
      <w:szCs w:val="24"/>
      <w:lang w:val="en-US" w:eastAsia="zh-CN" w:bidi="ar-SA"/>
    </w:rPr>
  </w:style>
  <w:style w:type="table" w:styleId="1095" w:customStyle="1">
    <w:name w:val="Table Normal"/>
    <w:uiPriority w:val="0"/>
    <w:unhideWhenUsed/>
    <w:qFormat/>
    <w:tblPr>
      <w:tblCellMar>
        <w:left w:w="0" w:type="dxa"/>
        <w:top w:w="0" w:type="dxa"/>
        <w:right w:w="0" w:type="dxa"/>
        <w:bottom w:w="0" w:type="dxa"/>
      </w:tblCellMar>
    </w:tblPr>
  </w:style>
  <w:style w:type="paragraph" w:styleId="1096" w:customStyle="1">
    <w:name w:val="正文_0_1_0_0"/>
    <w:uiPriority w:val="0"/>
    <w:qFormat/>
    <w:pPr>
      <w:jc w:val="both"/>
      <w:spacing w:line="360" w:lineRule="auto"/>
      <w:widowControl w:val="off"/>
    </w:pPr>
    <w:rPr>
      <w:rFonts w:hint="default" w:ascii="Times New Roman" w:hAnsi="Times New Roman" w:eastAsia="宋体" w:cs="Times New Roman"/>
      <w:sz w:val="21"/>
      <w:szCs w:val="24"/>
      <w:lang w:val="en-US" w:eastAsia="zh-CN" w:bidi="ar-SA"/>
    </w:rPr>
  </w:style>
  <w:style w:type="paragraph" w:styleId="1097" w:customStyle="1">
    <w:name w:val="Normal_19"/>
    <w:uiPriority w:val="0"/>
    <w:qFormat/>
    <w:pPr>
      <w:jc w:val="both"/>
      <w:spacing w:line="360" w:lineRule="auto"/>
      <w:widowControl w:val="off"/>
    </w:pPr>
    <w:rPr>
      <w:rFonts w:hint="default" w:ascii="Calibri" w:hAnsi="Calibri" w:eastAsia="宋体" w:cs="Times New Roman"/>
      <w:lang w:val="en-US" w:eastAsia="zh-CN" w:bidi="ar-SA"/>
    </w:rPr>
  </w:style>
  <w:style w:type="paragraph" w:styleId="1098" w:customStyle="1">
    <w:name w:val="Body Text"/>
    <w:basedOn w:val="1097"/>
    <w:next w:val="1097"/>
    <w:uiPriority w:val="0"/>
    <w:qFormat/>
    <w:pPr>
      <w:spacing w:line="60" w:lineRule="auto"/>
    </w:pPr>
    <w:rPr>
      <w:rFonts w:ascii="仿宋_GB2312" w:eastAsia="仿宋_GB2312"/>
      <w:sz w:val="32"/>
    </w:rPr>
  </w:style>
  <w:style w:type="paragraph" w:styleId="1099" w:customStyle="1">
    <w:name w:val="正文_3"/>
    <w:next w:val="110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100" w:customStyle="1">
    <w:name w:val="正文首行缩进 2_1"/>
    <w:basedOn w:val="1101"/>
    <w:uiPriority w:val="0"/>
    <w:qFormat/>
    <w:pPr>
      <w:ind w:left="420" w:firstLine="420"/>
      <w:spacing w:before="0" w:after="120" w:line="240" w:lineRule="auto"/>
    </w:pPr>
    <w:rPr>
      <w:rFonts w:ascii="Times New Roman" w:hAnsi="Times New Roman"/>
      <w:szCs w:val="24"/>
    </w:rPr>
  </w:style>
  <w:style w:type="paragraph" w:styleId="1101" w:customStyle="1">
    <w:name w:val="正文文本缩进_1"/>
    <w:basedOn w:val="1099"/>
    <w:next w:val="1102"/>
    <w:uiPriority w:val="0"/>
    <w:unhideWhenUsed/>
    <w:qFormat/>
    <w:pPr>
      <w:ind w:firstLine="552"/>
      <w:spacing w:before="240" w:line="360" w:lineRule="auto"/>
    </w:pPr>
    <w:rPr>
      <w:rFonts w:ascii="宋体" w:hAnsi="宋体"/>
      <w:szCs w:val="20"/>
    </w:rPr>
  </w:style>
  <w:style w:type="paragraph" w:styleId="1102" w:customStyle="1">
    <w:name w:val="寄信人地址_0"/>
    <w:basedOn w:val="1099"/>
    <w:uiPriority w:val="0"/>
    <w:qFormat/>
    <w:rPr>
      <w:rFonts w:ascii="Arial" w:hAnsi="Arial" w:cs="Arial"/>
      <w:szCs w:val="24"/>
    </w:rPr>
  </w:style>
  <w:style w:type="paragraph" w:styleId="1103" w:customStyle="1">
    <w:name w:val="正文_3_0"/>
    <w:next w:val="1104"/>
    <w:uiPriority w:val="0"/>
    <w:qFormat/>
    <w:pPr>
      <w:jc w:val="both"/>
      <w:widowControl w:val="off"/>
    </w:pPr>
    <w:rPr>
      <w:rFonts w:hint="default" w:ascii="Times New Roman" w:hAnsi="Times New Roman" w:eastAsia="宋体" w:cs="Times New Roman"/>
      <w:sz w:val="21"/>
      <w:lang w:val="en-US" w:eastAsia="zh-CN" w:bidi="ar-SA"/>
    </w:rPr>
  </w:style>
  <w:style w:type="paragraph" w:styleId="1104" w:customStyle="1">
    <w:name w:val="Heading 4"/>
    <w:basedOn w:val="1103"/>
    <w:next w:val="1103"/>
    <w:uiPriority w:val="0"/>
    <w:qFormat/>
    <w:pPr>
      <w:jc w:val="both"/>
      <w:keepLines/>
      <w:keepNext/>
      <w:spacing w:line="360" w:lineRule="auto"/>
      <w:tabs>
        <w:tab w:val="left" w:pos="1134" w:leader="none"/>
        <w:tab w:val="right" w:pos="7371" w:leader="none"/>
      </w:tabs>
    </w:pPr>
    <w:rPr>
      <w:rFonts w:ascii="宋体" w:hAnsi="Times New Roman"/>
      <w:color w:val="800000"/>
      <w:sz w:val="28"/>
      <w:szCs w:val="20"/>
      <w:lang w:val="en-US" w:eastAsia="zh-CN" w:bidi="ar-SA"/>
    </w:rPr>
  </w:style>
  <w:style w:type="paragraph" w:styleId="1105" w:customStyle="1">
    <w:name w:val="正文1"/>
    <w:next w:val="1106"/>
    <w:uiPriority w:val="0"/>
    <w:qFormat/>
    <w:rPr>
      <w:rFonts w:hint="default" w:ascii="Times New Roman" w:hAnsi="Times New Roman" w:eastAsia="Times New Roman" w:cs="Times New Roman"/>
      <w:sz w:val="24"/>
      <w:szCs w:val="24"/>
      <w:lang w:val="en-US" w:eastAsia="zh-CN" w:bidi="ar-SA"/>
    </w:rPr>
  </w:style>
  <w:style w:type="paragraph" w:styleId="1106" w:customStyle="1">
    <w:name w:val="正文文本缩进2"/>
    <w:basedOn w:val="746"/>
    <w:next w:val="745"/>
    <w:uiPriority w:val="0"/>
    <w:qFormat/>
    <w:pPr>
      <w:ind w:firstLine="570"/>
    </w:pPr>
    <w:rPr>
      <w:szCs w:val="24"/>
    </w:rPr>
  </w:style>
  <w:style w:type="paragraph" w:styleId="1107" w:customStyle="1">
    <w:name w:val="Normal_21"/>
    <w:uiPriority w:val="0"/>
    <w:qFormat/>
    <w:rPr>
      <w:rFonts w:hint="default" w:ascii="Times New Roman" w:hAnsi="Times New Roman" w:eastAsia="Times New Roman" w:cs="Times New Roman"/>
      <w:sz w:val="24"/>
      <w:szCs w:val="24"/>
      <w:lang w:val="en-US" w:eastAsia="zh-CN" w:bidi="ar-SA"/>
    </w:rPr>
  </w:style>
  <w:style w:type="paragraph" w:styleId="1108" w:customStyle="1">
    <w:name w:val="Normal_22"/>
    <w:uiPriority w:val="0"/>
    <w:qFormat/>
    <w:pPr>
      <w:jc w:val="both"/>
      <w:widowControl w:val="off"/>
    </w:pPr>
    <w:rPr>
      <w:rFonts w:hint="default" w:ascii="Calibri" w:hAnsi="Calibri" w:eastAsia="宋体" w:cs="Times New Roman"/>
      <w:sz w:val="21"/>
      <w:szCs w:val="22"/>
      <w:lang w:val="en-US" w:eastAsia="zh-CN" w:bidi="ar-SA"/>
    </w:rPr>
  </w:style>
  <w:style w:type="character" w:styleId="1109" w:customStyle="1">
    <w:name w:val="font51"/>
    <w:uiPriority w:val="0"/>
    <w:qFormat/>
    <w:rPr>
      <w:rFonts w:hint="eastAsia" w:ascii="宋体" w:hAnsi="宋体" w:eastAsia="宋体" w:cs="宋体"/>
      <w:color w:val="000000"/>
      <w:sz w:val="16"/>
      <w:szCs w:val="16"/>
      <w:u w:val="none"/>
    </w:rPr>
  </w:style>
  <w:style w:type="paragraph" w:styleId="1110" w:customStyle="1">
    <w:name w:val="UserStyle_267"/>
    <w:uiPriority w:val="0"/>
    <w:qFormat/>
    <w:rPr>
      <w:rFonts w:hint="default" w:ascii="Times New Roman" w:hAnsi="Times New Roman" w:eastAsia="仿宋_GB2312" w:cs="Times New Roman"/>
      <w:sz w:val="21"/>
      <w:lang w:val="en-US" w:eastAsia="zh-CN" w:bidi="ar-SA"/>
    </w:rPr>
  </w:style>
  <w:style w:type="character" w:styleId="1111" w:customStyle="1">
    <w:name w:val="NormalCharacter"/>
    <w:link w:val="724"/>
    <w:uiPriority w:val="0"/>
    <w:qFormat/>
    <w:rPr>
      <w:rFonts w:hint="default" w:ascii="Times New Roman" w:hAnsi="Times New Roman" w:eastAsia="宋体" w:cs="Times New Roman"/>
      <w:sz w:val="21"/>
      <w:szCs w:val="22"/>
      <w:lang w:val="en-US" w:eastAsia="zh-CN" w:bidi="ar-SA"/>
    </w:rPr>
  </w:style>
  <w:style w:type="paragraph" w:styleId="1112" w:customStyle="1">
    <w:name w:val="Normal_19_0"/>
    <w:uiPriority w:val="0"/>
    <w:qFormat/>
    <w:pPr>
      <w:jc w:val="both"/>
      <w:widowControl w:val="off"/>
    </w:pPr>
    <w:rPr>
      <w:rFonts w:hint="default" w:ascii="Calibri" w:hAnsi="Calibri" w:eastAsia="宋体" w:cs="Times New Roman"/>
      <w:lang w:val="en-US" w:eastAsia="zh-CN" w:bidi="ar-SA"/>
    </w:rPr>
  </w:style>
  <w:style w:type="paragraph" w:styleId="1113" w:customStyle="1">
    <w:name w:val="Body Text_1"/>
    <w:basedOn w:val="1112"/>
    <w:next w:val="1112"/>
    <w:uiPriority w:val="0"/>
    <w:qFormat/>
    <w:pPr>
      <w:spacing w:line="60" w:lineRule="auto"/>
    </w:pPr>
    <w:rPr>
      <w:rFonts w:ascii="仿宋_GB2312" w:eastAsia="仿宋_GB2312"/>
      <w:sz w:val="32"/>
    </w:rPr>
  </w:style>
  <w:style w:type="paragraph" w:styleId="1114" w:customStyle="1">
    <w:name w:val="Normal_0_1_0"/>
    <w:uiPriority w:val="0"/>
    <w:qFormat/>
    <w:pPr>
      <w:spacing w:after="0" w:line="240" w:lineRule="auto"/>
    </w:pPr>
    <w:rPr>
      <w:rFonts w:hint="default" w:ascii="Calibri" w:hAnsi="Calibri" w:eastAsia="Times New Roman" w:cs="Times New Roman"/>
      <w:sz w:val="24"/>
      <w:szCs w:val="24"/>
      <w:lang w:val="en-US" w:eastAsia="zh-CN" w:bidi="ar-SA"/>
    </w:rPr>
  </w:style>
  <w:style w:type="paragraph" w:styleId="1115" w:customStyle="1">
    <w:name w:val="正文_16_0"/>
    <w:next w:val="1116"/>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16" w:customStyle="1">
    <w:name w:val="Heading4_0_0"/>
    <w:basedOn w:val="1115"/>
    <w:next w:val="1115"/>
    <w:uiPriority w:val="0"/>
    <w:qFormat/>
    <w:pPr>
      <w:jc w:val="both"/>
      <w:keepLines/>
      <w:keepNext/>
      <w:spacing w:line="360" w:lineRule="auto"/>
      <w:tabs>
        <w:tab w:val="left" w:pos="1134" w:leader="none"/>
        <w:tab w:val="right" w:pos="7371" w:leader="none"/>
      </w:tabs>
    </w:pPr>
    <w:rPr>
      <w:rFonts w:ascii="宋体" w:hAnsi="Times New Roman"/>
      <w:color w:val="800000"/>
      <w:sz w:val="28"/>
      <w:szCs w:val="20"/>
      <w:lang w:val="en-US" w:eastAsia="zh-CN" w:bidi="ar-SA"/>
    </w:rPr>
  </w:style>
  <w:style w:type="paragraph" w:styleId="1117" w:customStyle="1">
    <w:name w:val="列表接续 2_1_0"/>
    <w:basedOn w:val="1115"/>
    <w:next w:val="1118"/>
    <w:uiPriority w:val="0"/>
    <w:qFormat/>
    <w:pPr>
      <w:ind w:left="840"/>
      <w:spacing w:after="120"/>
    </w:pPr>
  </w:style>
  <w:style w:type="paragraph" w:styleId="1118" w:customStyle="1">
    <w:name w:val="目录 4_1_0"/>
    <w:basedOn w:val="1115"/>
    <w:next w:val="1115"/>
    <w:uiPriority w:val="0"/>
    <w:qFormat/>
    <w:pPr>
      <w:ind w:left="600"/>
    </w:pPr>
  </w:style>
  <w:style w:type="paragraph" w:styleId="1119" w:customStyle="1">
    <w:name w:val="正文_0_1_0"/>
    <w:uiPriority w:val="0"/>
    <w:qFormat/>
    <w:pPr>
      <w:jc w:val="both"/>
      <w:widowControl w:val="off"/>
    </w:pPr>
    <w:rPr>
      <w:rFonts w:hint="default" w:ascii="Times New Roman" w:hAnsi="Times New Roman" w:eastAsia="宋体" w:cs="Times New Roman"/>
      <w:sz w:val="21"/>
      <w:szCs w:val="24"/>
      <w:lang w:val="en-US" w:eastAsia="zh-CN" w:bidi="ar-SA"/>
    </w:rPr>
  </w:style>
  <w:style w:type="table" w:styleId="1120" w:customStyle="1">
    <w:name w:val="网格型_0"/>
    <w:basedOn w:val="735"/>
    <w:uiPriority w:val="0"/>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121" w:customStyle="1">
    <w:name w:val="正文2_0"/>
    <w:uiPriority w:val="0"/>
    <w:qFormat/>
    <w:rPr>
      <w:rFonts w:hint="default" w:ascii="Calibri" w:hAnsi="Calibri" w:eastAsia="Times New Roman" w:cs="Times New Roman"/>
      <w:sz w:val="24"/>
      <w:szCs w:val="24"/>
      <w:lang w:val="en-US" w:eastAsia="zh-CN" w:bidi="ar-SA"/>
    </w:rPr>
  </w:style>
  <w:style w:type="paragraph" w:styleId="1122" w:customStyle="1">
    <w:name w:val="Normal_21_0"/>
    <w:uiPriority w:val="0"/>
    <w:qFormat/>
    <w:pPr>
      <w:jc w:val="both"/>
      <w:widowControl w:val="off"/>
    </w:pPr>
    <w:rPr>
      <w:rFonts w:hint="default" w:ascii="Calibri" w:hAnsi="Calibri" w:eastAsia="宋体" w:cs="Times New Roman"/>
      <w:lang w:val="en-US" w:eastAsia="zh-CN" w:bidi="ar-SA"/>
    </w:rPr>
  </w:style>
  <w:style w:type="paragraph" w:styleId="1123" w:customStyle="1">
    <w:name w:val="正文_16_1"/>
    <w:next w:val="1124"/>
    <w:uiPriority w:val="0"/>
    <w:qFormat/>
    <w:pPr>
      <w:jc w:val="both"/>
      <w:widowControl w:val="off"/>
    </w:pPr>
    <w:rPr>
      <w:rFonts w:hint="default" w:ascii="Calibri" w:hAnsi="Calibri" w:eastAsia="宋体" w:cs="Times New Roman"/>
      <w:sz w:val="21"/>
      <w:szCs w:val="22"/>
      <w:lang w:val="en-US" w:eastAsia="zh-CN" w:bidi="ar-SA"/>
    </w:rPr>
  </w:style>
  <w:style w:type="paragraph" w:styleId="1124" w:customStyle="1">
    <w:name w:val="正文文本_0_0"/>
    <w:basedOn w:val="1123"/>
    <w:next w:val="1123"/>
    <w:uiPriority w:val="0"/>
    <w:qFormat/>
    <w:pPr>
      <w:spacing w:line="60" w:lineRule="auto"/>
    </w:pPr>
    <w:rPr>
      <w:rFonts w:ascii="仿宋_GB2312" w:eastAsia="仿宋_GB2312"/>
      <w:sz w:val="32"/>
    </w:rPr>
  </w:style>
  <w:style w:type="paragraph" w:styleId="1125" w:customStyle="1">
    <w:name w:val="Normal_19_0_0"/>
    <w:uiPriority w:val="0"/>
    <w:qFormat/>
    <w:rPr>
      <w:rFonts w:hint="default" w:ascii="Times New Roman" w:hAnsi="Times New Roman" w:eastAsia="Times New Roman" w:cs="Times New Roman"/>
      <w:sz w:val="24"/>
      <w:szCs w:val="24"/>
      <w:lang w:bidi="ar-SA"/>
    </w:rPr>
  </w:style>
  <w:style w:type="paragraph" w:styleId="1126" w:customStyle="1">
    <w:name w:val="正文_10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27" w:customStyle="1">
    <w:name w:val="正文2_1"/>
    <w:uiPriority w:val="0"/>
    <w:qFormat/>
    <w:rPr>
      <w:rFonts w:hint="default" w:ascii="Calibri" w:hAnsi="Calibri" w:eastAsia="Times New Roman" w:cs="Times New Roman"/>
      <w:sz w:val="24"/>
      <w:szCs w:val="24"/>
      <w:lang w:val="en-US" w:eastAsia="zh-CN" w:bidi="ar-SA"/>
    </w:rPr>
  </w:style>
  <w:style w:type="table" w:styleId="1128" w:customStyle="1">
    <w:name w:val="Table Grid_0"/>
    <w:basedOn w:val="735"/>
    <w:uiPriority w:val="0"/>
    <w:qFormat/>
    <w:rPr>
      <w:rFonts w:eastAsia="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129" w:customStyle="1">
    <w:name w:val="正文_3_1"/>
    <w:next w:val="1130"/>
    <w:uiPriority w:val="0"/>
    <w:qFormat/>
    <w:pPr>
      <w:jc w:val="both"/>
      <w:widowControl w:val="off"/>
    </w:pPr>
    <w:rPr>
      <w:rFonts w:hint="default" w:ascii="Calibri" w:hAnsi="Calibri" w:eastAsia="宋体" w:cs="Times New Roman"/>
      <w:sz w:val="21"/>
      <w:szCs w:val="22"/>
      <w:lang w:val="en-US" w:eastAsia="zh-CN" w:bidi="ar-SA"/>
    </w:rPr>
  </w:style>
  <w:style w:type="paragraph" w:styleId="1130" w:customStyle="1">
    <w:name w:val="Heading4_0"/>
    <w:basedOn w:val="1129"/>
    <w:next w:val="1129"/>
    <w:uiPriority w:val="0"/>
    <w:qFormat/>
    <w:pPr>
      <w:jc w:val="both"/>
      <w:keepLines/>
      <w:keepNext/>
      <w:spacing w:line="360" w:lineRule="auto"/>
      <w:tabs>
        <w:tab w:val="left" w:pos="1134" w:leader="none"/>
        <w:tab w:val="right" w:pos="7371" w:leader="none"/>
      </w:tabs>
    </w:pPr>
    <w:rPr>
      <w:rFonts w:ascii="宋体" w:hAnsi="Times New Roman"/>
      <w:color w:val="800000"/>
      <w:sz w:val="28"/>
      <w:szCs w:val="20"/>
      <w:lang w:val="en-US" w:eastAsia="zh-CN" w:bidi="ar-SA"/>
    </w:rPr>
  </w:style>
  <w:style w:type="paragraph" w:styleId="1131" w:customStyle="1">
    <w:name w:val="正文_3_0_0"/>
    <w:uiPriority w:val="0"/>
    <w:qFormat/>
    <w:pPr>
      <w:jc w:val="both"/>
      <w:widowControl w:val="off"/>
    </w:pPr>
    <w:rPr>
      <w:rFonts w:hint="default" w:ascii="Calibri" w:hAnsi="Calibri" w:eastAsia="宋体" w:cs="Times New Roman"/>
      <w:sz w:val="21"/>
      <w:szCs w:val="22"/>
      <w:lang w:val="en-US" w:eastAsia="zh-CN" w:bidi="ar-SA"/>
    </w:rPr>
  </w:style>
  <w:style w:type="paragraph" w:styleId="1132" w:customStyle="1">
    <w:name w:val="正文_1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33" w:customStyle="1">
    <w:name w:val="正文2"/>
    <w:uiPriority w:val="0"/>
    <w:qFormat/>
    <w:rPr>
      <w:rFonts w:hint="default" w:ascii="Calibri" w:hAnsi="Calibri" w:eastAsia="Times New Roman" w:cs="Times New Roman"/>
      <w:sz w:val="24"/>
      <w:szCs w:val="24"/>
      <w:lang w:val="en-US" w:eastAsia="zh-CN" w:bidi="ar-SA"/>
    </w:rPr>
  </w:style>
  <w:style w:type="table" w:styleId="1134" w:customStyle="1">
    <w:name w:val="Table Grid"/>
    <w:basedOn w:val="735"/>
    <w:uiPriority w:val="0"/>
    <w:qFormat/>
    <w:rPr>
      <w:rFonts w:eastAsia="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135" w:customStyle="1">
    <w:name w:val="正文_17_0"/>
    <w:uiPriority w:val="0"/>
    <w:qFormat/>
    <w:pPr>
      <w:jc w:val="both"/>
      <w:widowControl w:val="off"/>
    </w:pPr>
    <w:rPr>
      <w:rFonts w:hint="default" w:ascii="Calibri" w:hAnsi="Calibri" w:eastAsia="宋体" w:cs="Times New Roman"/>
      <w:sz w:val="21"/>
      <w:szCs w:val="22"/>
      <w:lang w:val="en-US" w:eastAsia="zh-CN" w:bidi="ar-SA"/>
    </w:rPr>
  </w:style>
  <w:style w:type="paragraph" w:styleId="1136" w:customStyle="1">
    <w:name w:val="正文_2_0_0_0"/>
    <w:uiPriority w:val="0"/>
    <w:qFormat/>
    <w:pPr>
      <w:jc w:val="both"/>
      <w:widowControl w:val="off"/>
    </w:pPr>
    <w:rPr>
      <w:rFonts w:hint="default" w:ascii="Calibri" w:hAnsi="Calibri" w:eastAsia="宋体" w:cs="Times New Roman"/>
      <w:sz w:val="21"/>
      <w:szCs w:val="22"/>
      <w:lang w:val="en-US" w:eastAsia="zh-CN" w:bidi="ar-SA"/>
    </w:rPr>
  </w:style>
  <w:style w:type="paragraph" w:styleId="1137" w:customStyle="1">
    <w:name w:val="正文_0_2"/>
    <w:uiPriority w:val="0"/>
    <w:qFormat/>
    <w:pPr>
      <w:jc w:val="both"/>
      <w:widowControl w:val="off"/>
    </w:pPr>
    <w:rPr>
      <w:rFonts w:hint="default" w:ascii="Calibri" w:hAnsi="Calibri" w:eastAsia="宋体" w:cs="Times New Roman"/>
      <w:sz w:val="21"/>
      <w:szCs w:val="22"/>
      <w:lang w:val="en-US" w:eastAsia="zh-CN" w:bidi="ar-SA"/>
    </w:rPr>
  </w:style>
  <w:style w:type="paragraph" w:styleId="1138" w:customStyle="1">
    <w:name w:val="正文_1_1"/>
    <w:uiPriority w:val="0"/>
    <w:qFormat/>
    <w:pPr>
      <w:jc w:val="both"/>
      <w:widowControl w:val="off"/>
    </w:pPr>
    <w:rPr>
      <w:rFonts w:hint="default" w:ascii="Calibri" w:hAnsi="Calibri" w:eastAsia="宋体" w:cs="Times New Roman"/>
      <w:sz w:val="21"/>
      <w:szCs w:val="22"/>
      <w:lang w:val="en-US" w:eastAsia="zh-CN" w:bidi="ar-SA"/>
    </w:rPr>
  </w:style>
  <w:style w:type="paragraph" w:styleId="1139" w:customStyle="1">
    <w:name w:val="Normal_0_2"/>
    <w:next w:val="1140"/>
    <w:uiPriority w:val="0"/>
    <w:qFormat/>
    <w:rPr>
      <w:rFonts w:hint="default" w:ascii="黑体" w:hAnsi="黑体" w:eastAsia="黑体" w:cs="Times New Roman"/>
      <w:b/>
      <w:sz w:val="32"/>
      <w:szCs w:val="24"/>
      <w:lang w:val="en-US" w:eastAsia="zh-CN" w:bidi="ar-SA"/>
    </w:rPr>
  </w:style>
  <w:style w:type="paragraph" w:styleId="1140" w:customStyle="1">
    <w:name w:val="Body Text First Indent_1"/>
    <w:basedOn w:val="1141"/>
    <w:uiPriority w:val="99"/>
    <w:unhideWhenUsed/>
    <w:qFormat/>
    <w:pPr>
      <w:ind w:firstLine="420"/>
      <w:spacing w:after="120"/>
    </w:pPr>
    <w:rPr>
      <w:rFonts w:eastAsia="Times New Roman"/>
      <w:sz w:val="20"/>
    </w:rPr>
  </w:style>
  <w:style w:type="paragraph" w:styleId="1141" w:customStyle="1">
    <w:name w:val="Normal11"/>
    <w:next w:val="1142"/>
    <w:uiPriority w:val="0"/>
    <w:qFormat/>
    <w:pPr>
      <w:jc w:val="both"/>
      <w:widowControl w:val="off"/>
    </w:pPr>
    <w:rPr>
      <w:rFonts w:hint="default" w:ascii="Times New Roman" w:hAnsi="Times New Roman" w:eastAsia="宋体" w:cs="Times New Roman"/>
      <w:szCs w:val="21"/>
      <w:lang w:val="en-US" w:eastAsia="zh-CN" w:bidi="ar-SA"/>
    </w:rPr>
  </w:style>
  <w:style w:type="paragraph" w:styleId="1142" w:customStyle="1">
    <w:name w:val="Body Text First Indent1"/>
    <w:basedOn w:val="1143"/>
    <w:uiPriority w:val="99"/>
    <w:unhideWhenUsed/>
    <w:qFormat/>
    <w:pPr>
      <w:ind w:firstLine="420"/>
    </w:pPr>
  </w:style>
  <w:style w:type="paragraph" w:styleId="1143" w:customStyle="1">
    <w:name w:val="Body Text1"/>
    <w:basedOn w:val="1144"/>
    <w:uiPriority w:val="99"/>
    <w:unhideWhenUsed/>
    <w:qFormat/>
    <w:pPr>
      <w:spacing w:after="120"/>
    </w:pPr>
  </w:style>
  <w:style w:type="paragraph" w:styleId="1144" w:default="1" w:customStyle="1">
    <w:name w:val="Normal"/>
    <w:next w:val="1142"/>
    <w:uiPriority w:val="0"/>
    <w:qFormat/>
    <w:pPr>
      <w:jc w:val="both"/>
      <w:widowControl w:val="off"/>
    </w:pPr>
    <w:rPr>
      <w:rFonts w:hint="default" w:ascii="Times New Roman" w:hAnsi="Times New Roman" w:eastAsia="宋体" w:cs="Times New Roman"/>
      <w:szCs w:val="21"/>
      <w:lang w:val="en-US" w:eastAsia="zh-CN" w:bidi="ar-SA"/>
    </w:rPr>
  </w:style>
  <w:style w:type="paragraph" w:styleId="1145" w:customStyle="1">
    <w:name w:val="Normal_20_0"/>
    <w:uiPriority w:val="0"/>
    <w:qFormat/>
    <w:rPr>
      <w:rFonts w:hint="default" w:ascii="Times New Roman" w:hAnsi="Times New Roman" w:eastAsia="Times New Roman" w:cs="Times New Roman"/>
      <w:sz w:val="24"/>
      <w:szCs w:val="24"/>
      <w:lang w:val="en-US" w:eastAsia="zh-CN" w:bidi="ar-SA"/>
    </w:rPr>
  </w:style>
  <w:style w:type="paragraph" w:styleId="1146" w:customStyle="1">
    <w:name w:val="Normal1"/>
    <w:uiPriority w:val="0"/>
    <w:qFormat/>
    <w:pPr>
      <w:jc w:val="both"/>
      <w:widowControl w:val="off"/>
    </w:pPr>
    <w:rPr>
      <w:rFonts w:hint="default" w:ascii="Calibri" w:hAnsi="Calibri" w:eastAsia="宋体" w:cs="Times New Roman"/>
      <w:lang w:val="en-US" w:eastAsia="zh-CN" w:bidi="ar-SA"/>
    </w:rPr>
  </w:style>
  <w:style w:type="character" w:styleId="1147" w:customStyle="1">
    <w:name w:val="font01"/>
    <w:basedOn w:val="734"/>
    <w:uiPriority w:val="0"/>
    <w:qFormat/>
    <w:rPr>
      <w:rFonts w:hint="eastAsia" w:ascii="宋体" w:hAnsi="宋体" w:eastAsia="宋体" w:cs="宋体"/>
      <w:color w:val="000000"/>
      <w:sz w:val="22"/>
      <w:szCs w:val="22"/>
      <w:u w:val="none"/>
    </w:rPr>
  </w:style>
  <w:style w:type="numbering" w:styleId="936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footer" Target="footer5.xml" /><Relationship Id="rId15"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FVASEE</dc:creator>
  <cp:lastModifiedBy>赵飞飞</cp:lastModifiedBy>
  <cp:revision>21</cp:revision>
  <dcterms:created xsi:type="dcterms:W3CDTF">2024-05-23T09:03:00Z</dcterms:created>
  <dcterms:modified xsi:type="dcterms:W3CDTF">2026-05-13T04:19:25Z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3D31C7DCA4CD4470BA7E6EDC989916C0_13</vt:lpwstr>
  </property>
  <property fmtid="{D5CDD505-2E9C-101B-9397-08002B2CF9AE}" pid="4" name="KSOTemplateDocerSaveRecord">
    <vt:lpwstr>eyJoZGlkIjoiOWU3ZjM0ODgwZjNiMWQ3NjI3ZmVmZjM2ZTk2NmRmZmUiLCJ1c2VySWQiOiIyNTMxNjgyNjAifQ==</vt:lpwstr>
  </property>
</Properties>
</file>